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F9013D" w14:textId="77777777" w:rsidR="00CA030A" w:rsidRDefault="00000000">
      <w:r>
        <w:rPr>
          <w:noProof/>
        </w:rPr>
        <w:drawing>
          <wp:anchor distT="0" distB="0" distL="0" distR="0" simplePos="0" relativeHeight="251658240" behindDoc="1" locked="0" layoutInCell="1" hidden="0" allowOverlap="1" wp14:anchorId="62B17FDD" wp14:editId="4E83210B">
            <wp:simplePos x="0" y="0"/>
            <wp:positionH relativeFrom="column">
              <wp:posOffset>4561205</wp:posOffset>
            </wp:positionH>
            <wp:positionV relativeFrom="paragraph">
              <wp:posOffset>-407688</wp:posOffset>
            </wp:positionV>
            <wp:extent cx="1321435" cy="575945"/>
            <wp:effectExtent l="0" t="0" r="0" b="0"/>
            <wp:wrapNone/>
            <wp:docPr id="23" name="image2.png" descr="James Madison University Joins the Universities Studying Slavery (USS)  Movement."/>
            <wp:cNvGraphicFramePr/>
            <a:graphic xmlns:a="http://schemas.openxmlformats.org/drawingml/2006/main">
              <a:graphicData uri="http://schemas.openxmlformats.org/drawingml/2006/picture">
                <pic:pic xmlns:pic="http://schemas.openxmlformats.org/drawingml/2006/picture">
                  <pic:nvPicPr>
                    <pic:cNvPr id="0" name="image2.png" descr="James Madison University Joins the Universities Studying Slavery (USS)  Movement."/>
                    <pic:cNvPicPr preferRelativeResize="0"/>
                  </pic:nvPicPr>
                  <pic:blipFill>
                    <a:blip r:embed="rId7"/>
                    <a:srcRect/>
                    <a:stretch>
                      <a:fillRect/>
                    </a:stretch>
                  </pic:blipFill>
                  <pic:spPr>
                    <a:xfrm>
                      <a:off x="0" y="0"/>
                      <a:ext cx="1321435" cy="575945"/>
                    </a:xfrm>
                    <a:prstGeom prst="rect">
                      <a:avLst/>
                    </a:prstGeom>
                    <a:ln/>
                  </pic:spPr>
                </pic:pic>
              </a:graphicData>
            </a:graphic>
          </wp:anchor>
        </w:drawing>
      </w:r>
      <w:r>
        <w:rPr>
          <w:noProof/>
        </w:rPr>
        <w:drawing>
          <wp:anchor distT="0" distB="0" distL="0" distR="0" simplePos="0" relativeHeight="251659264" behindDoc="1" locked="0" layoutInCell="1" hidden="0" allowOverlap="1" wp14:anchorId="17978215" wp14:editId="2A66265D">
            <wp:simplePos x="0" y="0"/>
            <wp:positionH relativeFrom="column">
              <wp:posOffset>958850</wp:posOffset>
            </wp:positionH>
            <wp:positionV relativeFrom="paragraph">
              <wp:posOffset>-319278</wp:posOffset>
            </wp:positionV>
            <wp:extent cx="1665838" cy="461576"/>
            <wp:effectExtent l="0" t="0" r="0" b="0"/>
            <wp:wrapNone/>
            <wp:docPr id="2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665838" cy="461576"/>
                    </a:xfrm>
                    <a:prstGeom prst="rect">
                      <a:avLst/>
                    </a:prstGeom>
                    <a:ln/>
                  </pic:spPr>
                </pic:pic>
              </a:graphicData>
            </a:graphic>
          </wp:anchor>
        </w:drawing>
      </w:r>
      <w:r>
        <w:rPr>
          <w:noProof/>
        </w:rPr>
        <w:drawing>
          <wp:anchor distT="0" distB="0" distL="0" distR="0" simplePos="0" relativeHeight="251660288" behindDoc="1" locked="0" layoutInCell="1" hidden="0" allowOverlap="1" wp14:anchorId="2BDA833F" wp14:editId="78E9C9F8">
            <wp:simplePos x="0" y="0"/>
            <wp:positionH relativeFrom="column">
              <wp:posOffset>2734567</wp:posOffset>
            </wp:positionH>
            <wp:positionV relativeFrom="paragraph">
              <wp:posOffset>-507779</wp:posOffset>
            </wp:positionV>
            <wp:extent cx="1683934" cy="705454"/>
            <wp:effectExtent l="0" t="0" r="0" b="0"/>
            <wp:wrapNone/>
            <wp:docPr id="26" name="image5.gif" descr="Northwestern University Overview | MyCollegeSelection"/>
            <wp:cNvGraphicFramePr/>
            <a:graphic xmlns:a="http://schemas.openxmlformats.org/drawingml/2006/main">
              <a:graphicData uri="http://schemas.openxmlformats.org/drawingml/2006/picture">
                <pic:pic xmlns:pic="http://schemas.openxmlformats.org/drawingml/2006/picture">
                  <pic:nvPicPr>
                    <pic:cNvPr id="0" name="image5.gif" descr="Northwestern University Overview | MyCollegeSelection"/>
                    <pic:cNvPicPr preferRelativeResize="0"/>
                  </pic:nvPicPr>
                  <pic:blipFill>
                    <a:blip r:embed="rId9"/>
                    <a:srcRect b="18849"/>
                    <a:stretch>
                      <a:fillRect/>
                    </a:stretch>
                  </pic:blipFill>
                  <pic:spPr>
                    <a:xfrm>
                      <a:off x="0" y="0"/>
                      <a:ext cx="1683934" cy="705454"/>
                    </a:xfrm>
                    <a:prstGeom prst="rect">
                      <a:avLst/>
                    </a:prstGeom>
                    <a:ln/>
                  </pic:spPr>
                </pic:pic>
              </a:graphicData>
            </a:graphic>
          </wp:anchor>
        </w:drawing>
      </w:r>
      <w:r>
        <w:rPr>
          <w:noProof/>
        </w:rPr>
        <mc:AlternateContent>
          <mc:Choice Requires="wps">
            <w:drawing>
              <wp:anchor distT="0" distB="0" distL="114300" distR="114300" simplePos="0" relativeHeight="251661312" behindDoc="0" locked="0" layoutInCell="1" hidden="0" allowOverlap="1" wp14:anchorId="3BF6373D" wp14:editId="6FB1FAA5">
                <wp:simplePos x="0" y="0"/>
                <wp:positionH relativeFrom="column">
                  <wp:posOffset>1</wp:posOffset>
                </wp:positionH>
                <wp:positionV relativeFrom="paragraph">
                  <wp:posOffset>355600</wp:posOffset>
                </wp:positionV>
                <wp:extent cx="5937250" cy="2169380"/>
                <wp:effectExtent l="0" t="0" r="0" b="0"/>
                <wp:wrapNone/>
                <wp:docPr id="18" name="Rectangle 18"/>
                <wp:cNvGraphicFramePr/>
                <a:graphic xmlns:a="http://schemas.openxmlformats.org/drawingml/2006/main">
                  <a:graphicData uri="http://schemas.microsoft.com/office/word/2010/wordprocessingShape">
                    <wps:wsp>
                      <wps:cNvSpPr/>
                      <wps:spPr>
                        <a:xfrm>
                          <a:off x="2383725" y="179231"/>
                          <a:ext cx="5924700" cy="2146800"/>
                        </a:xfrm>
                        <a:prstGeom prst="rect">
                          <a:avLst/>
                        </a:prstGeom>
                        <a:solidFill>
                          <a:schemeClr val="lt1"/>
                        </a:solidFill>
                        <a:ln w="12700" cap="flat" cmpd="sng">
                          <a:solidFill>
                            <a:schemeClr val="dk1"/>
                          </a:solidFill>
                          <a:prstDash val="solid"/>
                          <a:miter lim="800000"/>
                          <a:headEnd type="none" w="sm" len="sm"/>
                          <a:tailEnd type="none" w="sm" len="sm"/>
                        </a:ln>
                      </wps:spPr>
                      <wps:txbx>
                        <w:txbxContent>
                          <w:p w14:paraId="5251A695" w14:textId="77777777" w:rsidR="00CA030A" w:rsidRDefault="00000000">
                            <w:pPr>
                              <w:spacing w:after="120" w:line="258" w:lineRule="auto"/>
                              <w:textDirection w:val="btLr"/>
                            </w:pPr>
                            <w:r>
                              <w:rPr>
                                <w:rFonts w:ascii="Arial" w:eastAsia="Arial" w:hAnsi="Arial" w:cs="Arial"/>
                                <w:b/>
                                <w:color w:val="002060"/>
                                <w:sz w:val="28"/>
                              </w:rPr>
                              <w:t>Adapting and Implementing a Geospatial High School Course in Career and Technical Education Clusters in Urban Settings</w:t>
                            </w:r>
                            <w:r>
                              <w:rPr>
                                <w:rFonts w:ascii="Arial" w:eastAsia="Arial" w:hAnsi="Arial" w:cs="Arial"/>
                                <w:color w:val="002060"/>
                                <w:sz w:val="28"/>
                              </w:rPr>
                              <w:t xml:space="preserve"> </w:t>
                            </w:r>
                          </w:p>
                          <w:p w14:paraId="217079B9" w14:textId="78D192F2" w:rsidR="00CA030A" w:rsidRDefault="00000000">
                            <w:pPr>
                              <w:spacing w:after="120" w:line="258" w:lineRule="auto"/>
                              <w:textDirection w:val="btLr"/>
                            </w:pPr>
                            <w:r>
                              <w:rPr>
                                <w:rFonts w:ascii="Arial" w:eastAsia="Arial" w:hAnsi="Arial" w:cs="Arial"/>
                                <w:color w:val="002060"/>
                              </w:rPr>
                              <w:t xml:space="preserve">Steven McGee (The Learning Partnership), </w:t>
                            </w:r>
                            <w:r w:rsidR="009C5135">
                              <w:rPr>
                                <w:rFonts w:ascii="Arial" w:eastAsia="Arial" w:hAnsi="Arial" w:cs="Arial"/>
                                <w:color w:val="002060"/>
                              </w:rPr>
                              <w:t>Randi McGee-Tekula (The Learning Partnership)</w:t>
                            </w:r>
                            <w:r w:rsidR="009C5135">
                              <w:rPr>
                                <w:rFonts w:ascii="Arial" w:eastAsia="Arial" w:hAnsi="Arial" w:cs="Arial"/>
                                <w:color w:val="002060"/>
                              </w:rPr>
                              <w:t xml:space="preserve">, </w:t>
                            </w:r>
                            <w:r>
                              <w:rPr>
                                <w:rFonts w:ascii="Arial" w:eastAsia="Arial" w:hAnsi="Arial" w:cs="Arial"/>
                                <w:color w:val="002060"/>
                              </w:rPr>
                              <w:t xml:space="preserve">David </w:t>
                            </w:r>
                            <w:proofErr w:type="spellStart"/>
                            <w:r>
                              <w:rPr>
                                <w:rFonts w:ascii="Arial" w:eastAsia="Arial" w:hAnsi="Arial" w:cs="Arial"/>
                                <w:color w:val="002060"/>
                              </w:rPr>
                              <w:t>Uttal</w:t>
                            </w:r>
                            <w:proofErr w:type="spellEnd"/>
                            <w:r>
                              <w:rPr>
                                <w:rFonts w:ascii="Arial" w:eastAsia="Arial" w:hAnsi="Arial" w:cs="Arial"/>
                                <w:color w:val="002060"/>
                              </w:rPr>
                              <w:t xml:space="preserve"> (NU), Bob </w:t>
                            </w:r>
                            <w:proofErr w:type="spellStart"/>
                            <w:r>
                              <w:rPr>
                                <w:rFonts w:ascii="Arial" w:eastAsia="Arial" w:hAnsi="Arial" w:cs="Arial"/>
                                <w:color w:val="002060"/>
                              </w:rPr>
                              <w:t>Kolvoord</w:t>
                            </w:r>
                            <w:proofErr w:type="spellEnd"/>
                            <w:r>
                              <w:rPr>
                                <w:rFonts w:ascii="Arial" w:eastAsia="Arial" w:hAnsi="Arial" w:cs="Arial"/>
                                <w:color w:val="002060"/>
                              </w:rPr>
                              <w:t xml:space="preserve"> (JMU), Lauren Pagano (NU), Jose Sotelo (NU)</w:t>
                            </w:r>
                            <w:r w:rsidR="009C5135">
                              <w:rPr>
                                <w:rFonts w:ascii="Arial" w:eastAsia="Arial" w:hAnsi="Arial" w:cs="Arial"/>
                                <w:color w:val="002060"/>
                              </w:rPr>
                              <w:t xml:space="preserve"> </w:t>
                            </w:r>
                          </w:p>
                          <w:p w14:paraId="72FA6EA5" w14:textId="0330C373" w:rsidR="00CA030A" w:rsidRDefault="00000000">
                            <w:pPr>
                              <w:spacing w:after="120" w:line="258" w:lineRule="auto"/>
                              <w:textDirection w:val="btLr"/>
                            </w:pPr>
                            <w:r>
                              <w:rPr>
                                <w:rFonts w:ascii="Arial" w:eastAsia="Arial" w:hAnsi="Arial" w:cs="Arial"/>
                                <w:color w:val="112E51"/>
                              </w:rPr>
                              <w:t xml:space="preserve">NSF Award Number​: </w:t>
                            </w:r>
                            <w:r>
                              <w:rPr>
                                <w:rFonts w:ascii="Arial" w:eastAsia="Arial" w:hAnsi="Arial" w:cs="Arial"/>
                                <w:color w:val="002060"/>
                              </w:rPr>
                              <w:t>1759360</w:t>
                            </w:r>
                            <w:r w:rsidR="009C5135">
                              <w:rPr>
                                <w:rFonts w:ascii="Arial" w:eastAsia="Arial" w:hAnsi="Arial" w:cs="Arial"/>
                                <w:color w:val="002060"/>
                              </w:rPr>
                              <w:t xml:space="preserve">, </w:t>
                            </w:r>
                            <w:r w:rsidR="009C5135" w:rsidRPr="009C5135">
                              <w:rPr>
                                <w:rFonts w:ascii="Arial" w:eastAsia="Arial" w:hAnsi="Arial" w:cs="Arial"/>
                                <w:color w:val="002060"/>
                              </w:rPr>
                              <w:t>1759370</w:t>
                            </w:r>
                            <w:r w:rsidR="009C5135">
                              <w:rPr>
                                <w:rFonts w:ascii="Arial" w:eastAsia="Arial" w:hAnsi="Arial" w:cs="Arial"/>
                                <w:color w:val="002060"/>
                              </w:rPr>
                              <w:t xml:space="preserve">, </w:t>
                            </w:r>
                            <w:r w:rsidR="009C5135" w:rsidRPr="009C5135">
                              <w:rPr>
                                <w:rFonts w:ascii="Arial" w:eastAsia="Arial" w:hAnsi="Arial" w:cs="Arial"/>
                                <w:color w:val="002060"/>
                              </w:rPr>
                              <w:t>1759371</w:t>
                            </w:r>
                            <w:r w:rsidR="009C5135">
                              <w:rPr>
                                <w:rFonts w:ascii="Arial" w:eastAsia="Arial" w:hAnsi="Arial" w:cs="Arial"/>
                                <w:color w:val="002060"/>
                              </w:rPr>
                              <w:t xml:space="preserve"> </w:t>
                            </w:r>
                            <w:r>
                              <w:rPr>
                                <w:rFonts w:ascii="Arial" w:eastAsia="Arial" w:hAnsi="Arial" w:cs="Arial"/>
                                <w:color w:val="112E51"/>
                              </w:rPr>
                              <w:tab/>
                              <w:t>Dates: 2018-2022</w:t>
                            </w:r>
                          </w:p>
                          <w:p w14:paraId="0C7391E0" w14:textId="77777777" w:rsidR="00CA030A" w:rsidRDefault="00000000">
                            <w:pPr>
                              <w:spacing w:after="120" w:line="258" w:lineRule="auto"/>
                              <w:textDirection w:val="btLr"/>
                            </w:pPr>
                            <w:r>
                              <w:rPr>
                                <w:rFonts w:ascii="Arial" w:eastAsia="Arial" w:hAnsi="Arial" w:cs="Arial"/>
                                <w:color w:val="112E51"/>
                              </w:rPr>
                              <w:t>Project type:​ Scaling, Expanding, and Iterating Innovations</w:t>
                            </w:r>
                          </w:p>
                          <w:p w14:paraId="48B00170" w14:textId="77777777" w:rsidR="00CA030A" w:rsidRDefault="00000000">
                            <w:pPr>
                              <w:spacing w:after="120" w:line="258" w:lineRule="auto"/>
                              <w:textDirection w:val="btLr"/>
                            </w:pPr>
                            <w:r>
                              <w:rPr>
                                <w:rFonts w:ascii="Arial" w:eastAsia="Arial" w:hAnsi="Arial" w:cs="Arial"/>
                                <w:color w:val="112E51"/>
                              </w:rPr>
                              <w:t>Project Overview: This project aims to adapt the Geospatial Semester for Career and Technical Education in a large urban district through effective teacher professional development and lesson design.</w:t>
                            </w:r>
                          </w:p>
                        </w:txbxContent>
                      </wps:txbx>
                      <wps:bodyPr spcFirstLastPara="1" wrap="square" lIns="91425" tIns="45700" rIns="91425" bIns="45700" anchor="t" anchorCtr="0">
                        <a:noAutofit/>
                      </wps:bodyPr>
                    </wps:wsp>
                  </a:graphicData>
                </a:graphic>
              </wp:anchor>
            </w:drawing>
          </mc:Choice>
          <mc:Fallback>
            <w:pict>
              <v:rect w14:anchorId="3BF6373D" id="Rectangle 18" o:spid="_x0000_s1026" style="position:absolute;margin-left:0;margin-top:28pt;width:467.5pt;height:170.8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" fillcolor="white [3201]" strokecolor="black [3200]" strokeweight="1pt">
                <v:stroke startarrowwidth="narrow" startarrowlength="short" endarrowwidth="narrow" endarrowlength="short"/>
                <v:textbox inset="2.53958mm,1.2694mm,2.53958mm,1.2694mm">
                  <w:txbxContent>
                    <w:p w14:paraId="5251A695" w14:textId="77777777" w:rsidR="00CA030A" w:rsidRDefault="00000000">
                      <w:pPr>
                        <w:spacing w:after="120" w:line="258" w:lineRule="auto"/>
                        <w:textDirection w:val="btLr"/>
                      </w:pPr>
                      <w:r>
                        <w:rPr>
                          <w:rFonts w:ascii="Arial" w:eastAsia="Arial" w:hAnsi="Arial" w:cs="Arial"/>
                          <w:b/>
                          <w:color w:val="002060"/>
                          <w:sz w:val="28"/>
                        </w:rPr>
                        <w:t>Adapting and Implementing a Geospatial High School Course in Career and Technical Education Clusters in Urban Settings</w:t>
                      </w:r>
                      <w:r>
                        <w:rPr>
                          <w:rFonts w:ascii="Arial" w:eastAsia="Arial" w:hAnsi="Arial" w:cs="Arial"/>
                          <w:color w:val="002060"/>
                          <w:sz w:val="28"/>
                        </w:rPr>
                        <w:t xml:space="preserve"> </w:t>
                      </w:r>
                    </w:p>
                    <w:p w14:paraId="217079B9" w14:textId="78D192F2" w:rsidR="00CA030A" w:rsidRDefault="00000000">
                      <w:pPr>
                        <w:spacing w:after="120" w:line="258" w:lineRule="auto"/>
                        <w:textDirection w:val="btLr"/>
                      </w:pPr>
                      <w:r>
                        <w:rPr>
                          <w:rFonts w:ascii="Arial" w:eastAsia="Arial" w:hAnsi="Arial" w:cs="Arial"/>
                          <w:color w:val="002060"/>
                        </w:rPr>
                        <w:t xml:space="preserve">Steven McGee (The Learning Partnership), </w:t>
                      </w:r>
                      <w:r w:rsidR="009C5135">
                        <w:rPr>
                          <w:rFonts w:ascii="Arial" w:eastAsia="Arial" w:hAnsi="Arial" w:cs="Arial"/>
                          <w:color w:val="002060"/>
                        </w:rPr>
                        <w:t>Randi McGee-Tekula (The Learning Partnership)</w:t>
                      </w:r>
                      <w:r w:rsidR="009C5135">
                        <w:rPr>
                          <w:rFonts w:ascii="Arial" w:eastAsia="Arial" w:hAnsi="Arial" w:cs="Arial"/>
                          <w:color w:val="002060"/>
                        </w:rPr>
                        <w:t xml:space="preserve">, </w:t>
                      </w:r>
                      <w:r>
                        <w:rPr>
                          <w:rFonts w:ascii="Arial" w:eastAsia="Arial" w:hAnsi="Arial" w:cs="Arial"/>
                          <w:color w:val="002060"/>
                        </w:rPr>
                        <w:t xml:space="preserve">David </w:t>
                      </w:r>
                      <w:proofErr w:type="spellStart"/>
                      <w:r>
                        <w:rPr>
                          <w:rFonts w:ascii="Arial" w:eastAsia="Arial" w:hAnsi="Arial" w:cs="Arial"/>
                          <w:color w:val="002060"/>
                        </w:rPr>
                        <w:t>Uttal</w:t>
                      </w:r>
                      <w:proofErr w:type="spellEnd"/>
                      <w:r>
                        <w:rPr>
                          <w:rFonts w:ascii="Arial" w:eastAsia="Arial" w:hAnsi="Arial" w:cs="Arial"/>
                          <w:color w:val="002060"/>
                        </w:rPr>
                        <w:t xml:space="preserve"> (NU), Bob </w:t>
                      </w:r>
                      <w:proofErr w:type="spellStart"/>
                      <w:r>
                        <w:rPr>
                          <w:rFonts w:ascii="Arial" w:eastAsia="Arial" w:hAnsi="Arial" w:cs="Arial"/>
                          <w:color w:val="002060"/>
                        </w:rPr>
                        <w:t>Kolvoord</w:t>
                      </w:r>
                      <w:proofErr w:type="spellEnd"/>
                      <w:r>
                        <w:rPr>
                          <w:rFonts w:ascii="Arial" w:eastAsia="Arial" w:hAnsi="Arial" w:cs="Arial"/>
                          <w:color w:val="002060"/>
                        </w:rPr>
                        <w:t xml:space="preserve"> (JMU), Lauren Pagano (NU), Jose Sotelo (NU)</w:t>
                      </w:r>
                      <w:r w:rsidR="009C5135">
                        <w:rPr>
                          <w:rFonts w:ascii="Arial" w:eastAsia="Arial" w:hAnsi="Arial" w:cs="Arial"/>
                          <w:color w:val="002060"/>
                        </w:rPr>
                        <w:t xml:space="preserve"> </w:t>
                      </w:r>
                    </w:p>
                    <w:p w14:paraId="72FA6EA5" w14:textId="0330C373" w:rsidR="00CA030A" w:rsidRDefault="00000000">
                      <w:pPr>
                        <w:spacing w:after="120" w:line="258" w:lineRule="auto"/>
                        <w:textDirection w:val="btLr"/>
                      </w:pPr>
                      <w:r>
                        <w:rPr>
                          <w:rFonts w:ascii="Arial" w:eastAsia="Arial" w:hAnsi="Arial" w:cs="Arial"/>
                          <w:color w:val="112E51"/>
                        </w:rPr>
                        <w:t xml:space="preserve">NSF Award Number​: </w:t>
                      </w:r>
                      <w:r>
                        <w:rPr>
                          <w:rFonts w:ascii="Arial" w:eastAsia="Arial" w:hAnsi="Arial" w:cs="Arial"/>
                          <w:color w:val="002060"/>
                        </w:rPr>
                        <w:t>1759360</w:t>
                      </w:r>
                      <w:r w:rsidR="009C5135">
                        <w:rPr>
                          <w:rFonts w:ascii="Arial" w:eastAsia="Arial" w:hAnsi="Arial" w:cs="Arial"/>
                          <w:color w:val="002060"/>
                        </w:rPr>
                        <w:t xml:space="preserve">, </w:t>
                      </w:r>
                      <w:r w:rsidR="009C5135" w:rsidRPr="009C5135">
                        <w:rPr>
                          <w:rFonts w:ascii="Arial" w:eastAsia="Arial" w:hAnsi="Arial" w:cs="Arial"/>
                          <w:color w:val="002060"/>
                        </w:rPr>
                        <w:t>1759370</w:t>
                      </w:r>
                      <w:r w:rsidR="009C5135">
                        <w:rPr>
                          <w:rFonts w:ascii="Arial" w:eastAsia="Arial" w:hAnsi="Arial" w:cs="Arial"/>
                          <w:color w:val="002060"/>
                        </w:rPr>
                        <w:t xml:space="preserve">, </w:t>
                      </w:r>
                      <w:r w:rsidR="009C5135" w:rsidRPr="009C5135">
                        <w:rPr>
                          <w:rFonts w:ascii="Arial" w:eastAsia="Arial" w:hAnsi="Arial" w:cs="Arial"/>
                          <w:color w:val="002060"/>
                        </w:rPr>
                        <w:t>1759371</w:t>
                      </w:r>
                      <w:r w:rsidR="009C5135">
                        <w:rPr>
                          <w:rFonts w:ascii="Arial" w:eastAsia="Arial" w:hAnsi="Arial" w:cs="Arial"/>
                          <w:color w:val="002060"/>
                        </w:rPr>
                        <w:t xml:space="preserve"> </w:t>
                      </w:r>
                      <w:r>
                        <w:rPr>
                          <w:rFonts w:ascii="Arial" w:eastAsia="Arial" w:hAnsi="Arial" w:cs="Arial"/>
                          <w:color w:val="112E51"/>
                        </w:rPr>
                        <w:tab/>
                        <w:t>Dates: 2018-2022</w:t>
                      </w:r>
                    </w:p>
                    <w:p w14:paraId="0C7391E0" w14:textId="77777777" w:rsidR="00CA030A" w:rsidRDefault="00000000">
                      <w:pPr>
                        <w:spacing w:after="120" w:line="258" w:lineRule="auto"/>
                        <w:textDirection w:val="btLr"/>
                      </w:pPr>
                      <w:r>
                        <w:rPr>
                          <w:rFonts w:ascii="Arial" w:eastAsia="Arial" w:hAnsi="Arial" w:cs="Arial"/>
                          <w:color w:val="112E51"/>
                        </w:rPr>
                        <w:t>Project type:​ Scaling, Expanding, and Iterating Innovations</w:t>
                      </w:r>
                    </w:p>
                    <w:p w14:paraId="48B00170" w14:textId="77777777" w:rsidR="00CA030A" w:rsidRDefault="00000000">
                      <w:pPr>
                        <w:spacing w:after="120" w:line="258" w:lineRule="auto"/>
                        <w:textDirection w:val="btLr"/>
                      </w:pPr>
                      <w:r>
                        <w:rPr>
                          <w:rFonts w:ascii="Arial" w:eastAsia="Arial" w:hAnsi="Arial" w:cs="Arial"/>
                          <w:color w:val="112E51"/>
                        </w:rPr>
                        <w:t>Project Overview: This project aims to adapt the Geospatial Semester for Career and Technical Education in a large urban district through effective teacher professional development and lesson design.</w:t>
                      </w:r>
                    </w:p>
                  </w:txbxContent>
                </v:textbox>
              </v:rect>
            </w:pict>
          </mc:Fallback>
        </mc:AlternateContent>
      </w:r>
      <w:r>
        <w:rPr>
          <w:noProof/>
        </w:rPr>
        <mc:AlternateContent>
          <mc:Choice Requires="wps">
            <w:drawing>
              <wp:anchor distT="0" distB="0" distL="114300" distR="114300" simplePos="0" relativeHeight="251662336" behindDoc="0" locked="0" layoutInCell="1" hidden="0" allowOverlap="1" wp14:anchorId="19E983D4" wp14:editId="2E732778">
                <wp:simplePos x="0" y="0"/>
                <wp:positionH relativeFrom="column">
                  <wp:posOffset>1</wp:posOffset>
                </wp:positionH>
                <wp:positionV relativeFrom="paragraph">
                  <wp:posOffset>2590800</wp:posOffset>
                </wp:positionV>
                <wp:extent cx="5937250" cy="1246442"/>
                <wp:effectExtent l="0" t="0" r="0" b="0"/>
                <wp:wrapNone/>
                <wp:docPr id="22" name="Rectangle 22"/>
                <wp:cNvGraphicFramePr/>
                <a:graphic xmlns:a="http://schemas.openxmlformats.org/drawingml/2006/main">
                  <a:graphicData uri="http://schemas.microsoft.com/office/word/2010/wordprocessingShape">
                    <wps:wsp>
                      <wps:cNvSpPr/>
                      <wps:spPr>
                        <a:xfrm>
                          <a:off x="2383725" y="3164365"/>
                          <a:ext cx="5924550" cy="1231271"/>
                        </a:xfrm>
                        <a:prstGeom prst="rect">
                          <a:avLst/>
                        </a:prstGeom>
                        <a:solidFill>
                          <a:srgbClr val="033859"/>
                        </a:solidFill>
                        <a:ln w="12700" cap="flat" cmpd="sng">
                          <a:solidFill>
                            <a:schemeClr val="dk1"/>
                          </a:solidFill>
                          <a:prstDash val="solid"/>
                          <a:miter lim="800000"/>
                          <a:headEnd type="none" w="sm" len="sm"/>
                          <a:tailEnd type="none" w="sm" len="sm"/>
                        </a:ln>
                      </wps:spPr>
                      <wps:txbx>
                        <w:txbxContent>
                          <w:p w14:paraId="1A636C4C" w14:textId="77777777" w:rsidR="00CA030A" w:rsidRDefault="00000000">
                            <w:pPr>
                              <w:spacing w:line="258" w:lineRule="auto"/>
                              <w:jc w:val="center"/>
                              <w:textDirection w:val="btLr"/>
                            </w:pPr>
                            <w:r>
                              <w:rPr>
                                <w:rFonts w:ascii="Arial" w:eastAsia="Arial" w:hAnsi="Arial" w:cs="Arial"/>
                                <w:color w:val="FFFFFF"/>
                                <w:sz w:val="28"/>
                              </w:rPr>
                              <w:t>Curricular change in a large district is challenging, but possible. The key elements developing partnerships with school leaders and adapting curriculum and professional development to meet district needs (and not being in a global pandemic is also helpful!)</w:t>
                            </w:r>
                          </w:p>
                        </w:txbxContent>
                      </wps:txbx>
                      <wps:bodyPr spcFirstLastPara="1" wrap="square" lIns="91425" tIns="45700" rIns="91425" bIns="45700" anchor="ctr" anchorCtr="0">
                        <a:noAutofit/>
                      </wps:bodyPr>
                    </wps:wsp>
                  </a:graphicData>
                </a:graphic>
              </wp:anchor>
            </w:drawing>
          </mc:Choice>
          <mc:Fallback>
            <w:pict>
              <v:rect w14:anchorId="19E983D4" id="Rectangle 22" o:spid="_x0000_s1027" style="position:absolute;margin-left:0;margin-top:204pt;width:467.5pt;height:98.1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" fillcolor="#033859" strokecolor="black [3200]" strokeweight="1pt">
                <v:stroke startarrowwidth="narrow" startarrowlength="short" endarrowwidth="narrow" endarrowlength="short"/>
                <v:textbox inset="2.53958mm,1.2694mm,2.53958mm,1.2694mm">
                  <w:txbxContent>
                    <w:p w14:paraId="1A636C4C" w14:textId="77777777" w:rsidR="00CA030A" w:rsidRDefault="00000000">
                      <w:pPr>
                        <w:spacing w:line="258" w:lineRule="auto"/>
                        <w:jc w:val="center"/>
                        <w:textDirection w:val="btLr"/>
                      </w:pPr>
                      <w:r>
                        <w:rPr>
                          <w:rFonts w:ascii="Arial" w:eastAsia="Arial" w:hAnsi="Arial" w:cs="Arial"/>
                          <w:color w:val="FFFFFF"/>
                          <w:sz w:val="28"/>
                        </w:rPr>
                        <w:t>Curricular change in a large district is challenging, but possible. The key elements developing partnerships with school leaders and adapting curriculum and professional development to meet district needs (and not being in a global pandemic is also helpful!)</w:t>
                      </w:r>
                    </w:p>
                  </w:txbxContent>
                </v:textbox>
              </v:rect>
            </w:pict>
          </mc:Fallback>
        </mc:AlternateContent>
      </w:r>
      <w:r>
        <w:rPr>
          <w:noProof/>
        </w:rPr>
        <mc:AlternateContent>
          <mc:Choice Requires="wps">
            <w:drawing>
              <wp:anchor distT="0" distB="0" distL="114300" distR="114300" simplePos="0" relativeHeight="251663360" behindDoc="0" locked="0" layoutInCell="1" hidden="0" allowOverlap="1" wp14:anchorId="12BDFD10" wp14:editId="1DA219D1">
                <wp:simplePos x="0" y="0"/>
                <wp:positionH relativeFrom="column">
                  <wp:posOffset>1</wp:posOffset>
                </wp:positionH>
                <wp:positionV relativeFrom="paragraph">
                  <wp:posOffset>3937000</wp:posOffset>
                </wp:positionV>
                <wp:extent cx="5937250" cy="1569946"/>
                <wp:effectExtent l="0" t="0" r="0" b="0"/>
                <wp:wrapNone/>
                <wp:docPr id="20" name="Rectangle 20"/>
                <wp:cNvGraphicFramePr/>
                <a:graphic xmlns:a="http://schemas.openxmlformats.org/drawingml/2006/main">
                  <a:graphicData uri="http://schemas.microsoft.com/office/word/2010/wordprocessingShape">
                    <wps:wsp>
                      <wps:cNvSpPr/>
                      <wps:spPr>
                        <a:xfrm>
                          <a:off x="2383725" y="3016475"/>
                          <a:ext cx="5924700" cy="1554000"/>
                        </a:xfrm>
                        <a:prstGeom prst="rect">
                          <a:avLst/>
                        </a:prstGeom>
                        <a:solidFill>
                          <a:srgbClr val="E6EBEE"/>
                        </a:solidFill>
                        <a:ln w="12700" cap="flat" cmpd="sng">
                          <a:solidFill>
                            <a:srgbClr val="E6EBEE"/>
                          </a:solidFill>
                          <a:prstDash val="solid"/>
                          <a:miter lim="800000"/>
                          <a:headEnd type="none" w="sm" len="sm"/>
                          <a:tailEnd type="none" w="sm" len="sm"/>
                        </a:ln>
                      </wps:spPr>
                      <wps:txbx>
                        <w:txbxContent>
                          <w:p w14:paraId="3D36746D" w14:textId="77777777" w:rsidR="00CA030A" w:rsidRDefault="00000000">
                            <w:pPr>
                              <w:spacing w:after="0" w:line="258" w:lineRule="auto"/>
                              <w:textDirection w:val="btLr"/>
                            </w:pPr>
                            <w:r>
                              <w:rPr>
                                <w:rFonts w:ascii="Arial" w:eastAsia="Arial" w:hAnsi="Arial" w:cs="Arial"/>
                                <w:b/>
                                <w:color w:val="046B99"/>
                                <w:sz w:val="24"/>
                              </w:rPr>
                              <w:t>Lessons Learned &amp; Insights Gained</w:t>
                            </w:r>
                          </w:p>
                          <w:p w14:paraId="6D1D5070" w14:textId="77777777" w:rsidR="00CA030A" w:rsidRDefault="00000000">
                            <w:pPr>
                              <w:spacing w:after="0" w:line="240" w:lineRule="auto"/>
                              <w:ind w:left="720" w:firstLine="360"/>
                              <w:textDirection w:val="btLr"/>
                            </w:pPr>
                            <w:r>
                              <w:rPr>
                                <w:rFonts w:ascii="Arial" w:eastAsia="Arial" w:hAnsi="Arial" w:cs="Arial"/>
                                <w:color w:val="112E51"/>
                              </w:rPr>
                              <w:t>Professional Development (PD) Structure: Regular PD opportunities focused on teaching lesson-specific GIS skills may be more helpful for teacher confidence and lesson implementation than time-intensive GIS workshops.</w:t>
                            </w:r>
                          </w:p>
                          <w:p w14:paraId="18A3C689" w14:textId="77777777" w:rsidR="00CA030A" w:rsidRDefault="00000000">
                            <w:pPr>
                              <w:spacing w:after="0" w:line="240" w:lineRule="auto"/>
                              <w:ind w:left="720" w:firstLine="360"/>
                              <w:textDirection w:val="btLr"/>
                            </w:pPr>
                            <w:r>
                              <w:rPr>
                                <w:rFonts w:ascii="Arial" w:eastAsia="Arial" w:hAnsi="Arial" w:cs="Arial"/>
                                <w:color w:val="112E51"/>
                              </w:rPr>
                              <w:t xml:space="preserve">Lesson Co-Design: Collaborative work circles made up of teachers, researchers, and GIS experts are important for the successful design and implementation of GIS-infused lessons that are student-driven, culturally responsive, relevant to disciplinary content, and supportive of spatial reasoning. </w:t>
                            </w:r>
                          </w:p>
                        </w:txbxContent>
                      </wps:txbx>
                      <wps:bodyPr spcFirstLastPara="1" wrap="square" lIns="91425" tIns="45700" rIns="91425" bIns="45700" anchor="t" anchorCtr="0">
                        <a:noAutofit/>
                      </wps:bodyPr>
                    </wps:wsp>
                  </a:graphicData>
                </a:graphic>
              </wp:anchor>
            </w:drawing>
          </mc:Choice>
          <mc:Fallback>
            <w:pict>
              <v:rect w14:anchorId="12BDFD10" id="Rectangle 20" o:spid="_x0000_s1028" style="position:absolute;margin-left:0;margin-top:310pt;width:467.5pt;height:123.6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" fillcolor="#e6ebee" strokecolor="#e6ebee" strokeweight="1pt">
                <v:stroke startarrowwidth="narrow" startarrowlength="short" endarrowwidth="narrow" endarrowlength="short"/>
                <v:textbox inset="2.53958mm,1.2694mm,2.53958mm,1.2694mm">
                  <w:txbxContent>
                    <w:p w14:paraId="3D36746D" w14:textId="77777777" w:rsidR="00CA030A" w:rsidRDefault="00000000">
                      <w:pPr>
                        <w:spacing w:after="0" w:line="258" w:lineRule="auto"/>
                        <w:textDirection w:val="btLr"/>
                      </w:pPr>
                      <w:r>
                        <w:rPr>
                          <w:rFonts w:ascii="Arial" w:eastAsia="Arial" w:hAnsi="Arial" w:cs="Arial"/>
                          <w:b/>
                          <w:color w:val="046B99"/>
                          <w:sz w:val="24"/>
                        </w:rPr>
                        <w:t>Lessons Learned &amp; Insights Gained</w:t>
                      </w:r>
                    </w:p>
                    <w:p w14:paraId="6D1D5070" w14:textId="77777777" w:rsidR="00CA030A" w:rsidRDefault="00000000">
                      <w:pPr>
                        <w:spacing w:after="0" w:line="240" w:lineRule="auto"/>
                        <w:ind w:left="720" w:firstLine="360"/>
                        <w:textDirection w:val="btLr"/>
                      </w:pPr>
                      <w:r>
                        <w:rPr>
                          <w:rFonts w:ascii="Arial" w:eastAsia="Arial" w:hAnsi="Arial" w:cs="Arial"/>
                          <w:color w:val="112E51"/>
                        </w:rPr>
                        <w:t>Professional Development (PD) Structure: Regular PD opportunities focused on teaching lesson-specific GIS skills may be more helpful for teacher confidence and lesson implementation than time-intensive GIS workshops.</w:t>
                      </w:r>
                    </w:p>
                    <w:p w14:paraId="18A3C689" w14:textId="77777777" w:rsidR="00CA030A" w:rsidRDefault="00000000">
                      <w:pPr>
                        <w:spacing w:after="0" w:line="240" w:lineRule="auto"/>
                        <w:ind w:left="720" w:firstLine="360"/>
                        <w:textDirection w:val="btLr"/>
                      </w:pPr>
                      <w:r>
                        <w:rPr>
                          <w:rFonts w:ascii="Arial" w:eastAsia="Arial" w:hAnsi="Arial" w:cs="Arial"/>
                          <w:color w:val="112E51"/>
                        </w:rPr>
                        <w:t xml:space="preserve">Lesson Co-Design: Collaborative work circles made up of teachers, researchers, and GIS experts are important for the successful design and implementation of GIS-infused lessons that are student-driven, culturally responsive, relevant to disciplinary content, and supportive of spatial reasoning. </w:t>
                      </w:r>
                    </w:p>
                  </w:txbxContent>
                </v:textbox>
              </v:rect>
            </w:pict>
          </mc:Fallback>
        </mc:AlternateContent>
      </w:r>
      <w:r>
        <w:rPr>
          <w:noProof/>
        </w:rPr>
        <mc:AlternateContent>
          <mc:Choice Requires="wps">
            <w:drawing>
              <wp:anchor distT="0" distB="0" distL="114300" distR="114300" simplePos="0" relativeHeight="251664384" behindDoc="0" locked="0" layoutInCell="1" hidden="0" allowOverlap="1" wp14:anchorId="6EC539F2" wp14:editId="1F4CDCA5">
                <wp:simplePos x="0" y="0"/>
                <wp:positionH relativeFrom="column">
                  <wp:posOffset>1</wp:posOffset>
                </wp:positionH>
                <wp:positionV relativeFrom="paragraph">
                  <wp:posOffset>5575300</wp:posOffset>
                </wp:positionV>
                <wp:extent cx="5937250" cy="1389164"/>
                <wp:effectExtent l="0" t="0" r="0" b="0"/>
                <wp:wrapNone/>
                <wp:docPr id="19" name="Rectangle 19"/>
                <wp:cNvGraphicFramePr/>
                <a:graphic xmlns:a="http://schemas.openxmlformats.org/drawingml/2006/main">
                  <a:graphicData uri="http://schemas.microsoft.com/office/word/2010/wordprocessingShape">
                    <wps:wsp>
                      <wps:cNvSpPr/>
                      <wps:spPr>
                        <a:xfrm>
                          <a:off x="2383725" y="3094200"/>
                          <a:ext cx="5924700" cy="1367700"/>
                        </a:xfrm>
                        <a:prstGeom prst="rect">
                          <a:avLst/>
                        </a:prstGeom>
                        <a:solidFill>
                          <a:srgbClr val="E6EBEE"/>
                        </a:solidFill>
                        <a:ln w="12700" cap="flat" cmpd="sng">
                          <a:solidFill>
                            <a:srgbClr val="E6EBEE"/>
                          </a:solidFill>
                          <a:prstDash val="solid"/>
                          <a:miter lim="800000"/>
                          <a:headEnd type="none" w="sm" len="sm"/>
                          <a:tailEnd type="none" w="sm" len="sm"/>
                        </a:ln>
                      </wps:spPr>
                      <wps:txbx>
                        <w:txbxContent>
                          <w:p w14:paraId="6258946B" w14:textId="77777777" w:rsidR="00CA030A" w:rsidRDefault="00000000">
                            <w:pPr>
                              <w:spacing w:after="0" w:line="258" w:lineRule="auto"/>
                              <w:textDirection w:val="btLr"/>
                            </w:pPr>
                            <w:r>
                              <w:rPr>
                                <w:rFonts w:ascii="Arial" w:eastAsia="Arial" w:hAnsi="Arial" w:cs="Arial"/>
                                <w:b/>
                                <w:color w:val="046B99"/>
                                <w:sz w:val="24"/>
                              </w:rPr>
                              <w:t>Equity</w:t>
                            </w:r>
                          </w:p>
                          <w:p w14:paraId="7B42AA27" w14:textId="77777777" w:rsidR="00CA030A" w:rsidRDefault="00000000">
                            <w:pPr>
                              <w:spacing w:after="0" w:line="240" w:lineRule="auto"/>
                              <w:ind w:left="720" w:firstLine="360"/>
                              <w:textDirection w:val="btLr"/>
                            </w:pPr>
                            <w:r>
                              <w:rPr>
                                <w:rFonts w:ascii="Arial" w:eastAsia="Arial" w:hAnsi="Arial" w:cs="Arial"/>
                                <w:color w:val="112E51"/>
                              </w:rPr>
                              <w:t xml:space="preserve">Through iterative co-design between teachers and researchers, 92% of the GIS-infused lessons implemented in Year 4 were considered culturally responsive. </w:t>
                            </w:r>
                          </w:p>
                          <w:p w14:paraId="47869FD7" w14:textId="77777777" w:rsidR="00CA030A" w:rsidRDefault="00000000">
                            <w:pPr>
                              <w:spacing w:after="0" w:line="240" w:lineRule="auto"/>
                              <w:ind w:left="720" w:firstLine="360"/>
                              <w:textDirection w:val="btLr"/>
                            </w:pPr>
                            <w:r>
                              <w:rPr>
                                <w:rFonts w:ascii="Arial" w:eastAsia="Arial" w:hAnsi="Arial" w:cs="Arial"/>
                                <w:color w:val="112E51"/>
                              </w:rPr>
                              <w:t xml:space="preserve">Our work serves diverse CPS students—in our most recent GIS-infused unit, 33% of students identified as black and 23% identified as Latinx. </w:t>
                            </w:r>
                          </w:p>
                          <w:p w14:paraId="12AED6BF" w14:textId="77777777" w:rsidR="00CA030A" w:rsidRDefault="00000000">
                            <w:pPr>
                              <w:spacing w:after="0" w:line="240" w:lineRule="auto"/>
                              <w:ind w:left="720" w:firstLine="360"/>
                              <w:textDirection w:val="btLr"/>
                            </w:pPr>
                            <w:r>
                              <w:rPr>
                                <w:rFonts w:ascii="Arial" w:eastAsia="Arial" w:hAnsi="Arial" w:cs="Arial"/>
                                <w:color w:val="112E51"/>
                              </w:rPr>
                              <w:t xml:space="preserve">Students’ perceptions of equity in their GIS-infused classes predicted expectancy of success in computer science (CS) and interest in taking more CS courses. </w:t>
                            </w:r>
                          </w:p>
                        </w:txbxContent>
                      </wps:txbx>
                      <wps:bodyPr spcFirstLastPara="1" wrap="square" lIns="91425" tIns="45700" rIns="91425" bIns="45700" anchor="t" anchorCtr="0">
                        <a:noAutofit/>
                      </wps:bodyPr>
                    </wps:wsp>
                  </a:graphicData>
                </a:graphic>
              </wp:anchor>
            </w:drawing>
          </mc:Choice>
          <mc:Fallback>
            <w:pict>
              <v:rect w14:anchorId="6EC539F2" id="Rectangle 19" o:spid="_x0000_s1029" style="position:absolute;margin-left:0;margin-top:439pt;width:467.5pt;height:109.4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" fillcolor="#e6ebee" strokecolor="#e6ebee" strokeweight="1pt">
                <v:stroke startarrowwidth="narrow" startarrowlength="short" endarrowwidth="narrow" endarrowlength="short"/>
                <v:textbox inset="2.53958mm,1.2694mm,2.53958mm,1.2694mm">
                  <w:txbxContent>
                    <w:p w14:paraId="6258946B" w14:textId="77777777" w:rsidR="00CA030A" w:rsidRDefault="00000000">
                      <w:pPr>
                        <w:spacing w:after="0" w:line="258" w:lineRule="auto"/>
                        <w:textDirection w:val="btLr"/>
                      </w:pPr>
                      <w:r>
                        <w:rPr>
                          <w:rFonts w:ascii="Arial" w:eastAsia="Arial" w:hAnsi="Arial" w:cs="Arial"/>
                          <w:b/>
                          <w:color w:val="046B99"/>
                          <w:sz w:val="24"/>
                        </w:rPr>
                        <w:t>Equity</w:t>
                      </w:r>
                    </w:p>
                    <w:p w14:paraId="7B42AA27" w14:textId="77777777" w:rsidR="00CA030A" w:rsidRDefault="00000000">
                      <w:pPr>
                        <w:spacing w:after="0" w:line="240" w:lineRule="auto"/>
                        <w:ind w:left="720" w:firstLine="360"/>
                        <w:textDirection w:val="btLr"/>
                      </w:pPr>
                      <w:r>
                        <w:rPr>
                          <w:rFonts w:ascii="Arial" w:eastAsia="Arial" w:hAnsi="Arial" w:cs="Arial"/>
                          <w:color w:val="112E51"/>
                        </w:rPr>
                        <w:t xml:space="preserve">Through iterative co-design between teachers and researchers, 92% of the GIS-infused lessons implemented in Year 4 were considered culturally responsive. </w:t>
                      </w:r>
                    </w:p>
                    <w:p w14:paraId="47869FD7" w14:textId="77777777" w:rsidR="00CA030A" w:rsidRDefault="00000000">
                      <w:pPr>
                        <w:spacing w:after="0" w:line="240" w:lineRule="auto"/>
                        <w:ind w:left="720" w:firstLine="360"/>
                        <w:textDirection w:val="btLr"/>
                      </w:pPr>
                      <w:r>
                        <w:rPr>
                          <w:rFonts w:ascii="Arial" w:eastAsia="Arial" w:hAnsi="Arial" w:cs="Arial"/>
                          <w:color w:val="112E51"/>
                        </w:rPr>
                        <w:t xml:space="preserve">Our work serves diverse CPS students—in our most recent GIS-infused unit, 33% of students identified as black and 23% identified as Latinx. </w:t>
                      </w:r>
                    </w:p>
                    <w:p w14:paraId="12AED6BF" w14:textId="77777777" w:rsidR="00CA030A" w:rsidRDefault="00000000">
                      <w:pPr>
                        <w:spacing w:after="0" w:line="240" w:lineRule="auto"/>
                        <w:ind w:left="720" w:firstLine="360"/>
                        <w:textDirection w:val="btLr"/>
                      </w:pPr>
                      <w:r>
                        <w:rPr>
                          <w:rFonts w:ascii="Arial" w:eastAsia="Arial" w:hAnsi="Arial" w:cs="Arial"/>
                          <w:color w:val="112E51"/>
                        </w:rPr>
                        <w:t xml:space="preserve">Students’ perceptions of equity in their GIS-infused classes predicted expectancy of success in computer science (CS) and interest in taking more CS courses. </w:t>
                      </w:r>
                    </w:p>
                  </w:txbxContent>
                </v:textbox>
              </v:rect>
            </w:pict>
          </mc:Fallback>
        </mc:AlternateContent>
      </w:r>
      <w:r>
        <w:rPr>
          <w:noProof/>
        </w:rPr>
        <mc:AlternateContent>
          <mc:Choice Requires="wps">
            <w:drawing>
              <wp:anchor distT="0" distB="0" distL="114300" distR="114300" simplePos="0" relativeHeight="251665408" behindDoc="0" locked="0" layoutInCell="1" hidden="0" allowOverlap="1" wp14:anchorId="62B976CA" wp14:editId="000EFCDA">
                <wp:simplePos x="0" y="0"/>
                <wp:positionH relativeFrom="column">
                  <wp:posOffset>1</wp:posOffset>
                </wp:positionH>
                <wp:positionV relativeFrom="paragraph">
                  <wp:posOffset>7035800</wp:posOffset>
                </wp:positionV>
                <wp:extent cx="5937250" cy="1398679"/>
                <wp:effectExtent l="0" t="0" r="0" b="0"/>
                <wp:wrapNone/>
                <wp:docPr id="21" name="Rectangle 21"/>
                <wp:cNvGraphicFramePr/>
                <a:graphic xmlns:a="http://schemas.openxmlformats.org/drawingml/2006/main">
                  <a:graphicData uri="http://schemas.microsoft.com/office/word/2010/wordprocessingShape">
                    <wps:wsp>
                      <wps:cNvSpPr/>
                      <wps:spPr>
                        <a:xfrm>
                          <a:off x="2383725" y="3094200"/>
                          <a:ext cx="5924700" cy="1381200"/>
                        </a:xfrm>
                        <a:prstGeom prst="rect">
                          <a:avLst/>
                        </a:prstGeom>
                        <a:solidFill>
                          <a:srgbClr val="E6EBEE"/>
                        </a:solidFill>
                        <a:ln w="12700" cap="flat" cmpd="sng">
                          <a:solidFill>
                            <a:srgbClr val="E6EBEE"/>
                          </a:solidFill>
                          <a:prstDash val="solid"/>
                          <a:miter lim="800000"/>
                          <a:headEnd type="none" w="sm" len="sm"/>
                          <a:tailEnd type="none" w="sm" len="sm"/>
                        </a:ln>
                      </wps:spPr>
                      <wps:txbx>
                        <w:txbxContent>
                          <w:p w14:paraId="05785643" w14:textId="77777777" w:rsidR="00CA030A" w:rsidRDefault="00000000">
                            <w:pPr>
                              <w:spacing w:after="0" w:line="258" w:lineRule="auto"/>
                              <w:textDirection w:val="btLr"/>
                            </w:pPr>
                            <w:r>
                              <w:rPr>
                                <w:rFonts w:ascii="Arial" w:eastAsia="Arial" w:hAnsi="Arial" w:cs="Arial"/>
                                <w:b/>
                                <w:color w:val="046B99"/>
                                <w:sz w:val="24"/>
                              </w:rPr>
                              <w:t>New Challenges &amp; Next Steps</w:t>
                            </w:r>
                          </w:p>
                          <w:p w14:paraId="7491F931" w14:textId="77777777" w:rsidR="00CA030A" w:rsidRDefault="00000000">
                            <w:pPr>
                              <w:spacing w:after="0" w:line="240" w:lineRule="auto"/>
                              <w:ind w:left="720" w:firstLine="360"/>
                              <w:textDirection w:val="btLr"/>
                            </w:pPr>
                            <w:r>
                              <w:rPr>
                                <w:rFonts w:ascii="Arial" w:eastAsia="Arial" w:hAnsi="Arial" w:cs="Arial"/>
                                <w:color w:val="112E51"/>
                              </w:rPr>
                              <w:t xml:space="preserve">Changes in CPS leadership made teacher recruitment and lesson implementation challenging over the past year. We built relationships with new CPS leaders and will be conducting teacher professional development workshops and implementing our lessons with the Business and IT clusters in Spring 2023. </w:t>
                            </w:r>
                          </w:p>
                          <w:p w14:paraId="1F11B720" w14:textId="77777777" w:rsidR="00CA030A" w:rsidRDefault="00000000">
                            <w:pPr>
                              <w:spacing w:after="0" w:line="240" w:lineRule="auto"/>
                              <w:ind w:left="720" w:firstLine="360"/>
                              <w:textDirection w:val="btLr"/>
                            </w:pPr>
                            <w:r>
                              <w:rPr>
                                <w:rFonts w:ascii="Arial" w:eastAsia="Arial" w:hAnsi="Arial" w:cs="Arial"/>
                                <w:color w:val="112E51"/>
                              </w:rPr>
                              <w:t>We aim to develop an ArcGIS Business Analyst Certificate for students participating in our curriculum.</w:t>
                            </w:r>
                          </w:p>
                        </w:txbxContent>
                      </wps:txbx>
                      <wps:bodyPr spcFirstLastPara="1" wrap="square" lIns="91425" tIns="45700" rIns="91425" bIns="45700" anchor="t" anchorCtr="0">
                        <a:noAutofit/>
                      </wps:bodyPr>
                    </wps:wsp>
                  </a:graphicData>
                </a:graphic>
              </wp:anchor>
            </w:drawing>
          </mc:Choice>
          <mc:Fallback>
            <w:pict>
              <v:rect w14:anchorId="62B976CA" id="Rectangle 21" o:spid="_x0000_s1030" style="position:absolute;margin-left:0;margin-top:554pt;width:467.5pt;height:110.1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" fillcolor="#e6ebee" strokecolor="#e6ebee" strokeweight="1pt">
                <v:stroke startarrowwidth="narrow" startarrowlength="short" endarrowwidth="narrow" endarrowlength="short"/>
                <v:textbox inset="2.53958mm,1.2694mm,2.53958mm,1.2694mm">
                  <w:txbxContent>
                    <w:p w14:paraId="05785643" w14:textId="77777777" w:rsidR="00CA030A" w:rsidRDefault="00000000">
                      <w:pPr>
                        <w:spacing w:after="0" w:line="258" w:lineRule="auto"/>
                        <w:textDirection w:val="btLr"/>
                      </w:pPr>
                      <w:r>
                        <w:rPr>
                          <w:rFonts w:ascii="Arial" w:eastAsia="Arial" w:hAnsi="Arial" w:cs="Arial"/>
                          <w:b/>
                          <w:color w:val="046B99"/>
                          <w:sz w:val="24"/>
                        </w:rPr>
                        <w:t>New Challenges &amp; Next Steps</w:t>
                      </w:r>
                    </w:p>
                    <w:p w14:paraId="7491F931" w14:textId="77777777" w:rsidR="00CA030A" w:rsidRDefault="00000000">
                      <w:pPr>
                        <w:spacing w:after="0" w:line="240" w:lineRule="auto"/>
                        <w:ind w:left="720" w:firstLine="360"/>
                        <w:textDirection w:val="btLr"/>
                      </w:pPr>
                      <w:r>
                        <w:rPr>
                          <w:rFonts w:ascii="Arial" w:eastAsia="Arial" w:hAnsi="Arial" w:cs="Arial"/>
                          <w:color w:val="112E51"/>
                        </w:rPr>
                        <w:t xml:space="preserve">Changes in CPS leadership made teacher recruitment and lesson implementation challenging over the past year. We built relationships with new CPS leaders and will be conducting teacher professional development workshops and implementing our lessons with the Business and IT clusters in Spring 2023. </w:t>
                      </w:r>
                    </w:p>
                    <w:p w14:paraId="1F11B720" w14:textId="77777777" w:rsidR="00CA030A" w:rsidRDefault="00000000">
                      <w:pPr>
                        <w:spacing w:after="0" w:line="240" w:lineRule="auto"/>
                        <w:ind w:left="720" w:firstLine="360"/>
                        <w:textDirection w:val="btLr"/>
                      </w:pPr>
                      <w:r>
                        <w:rPr>
                          <w:rFonts w:ascii="Arial" w:eastAsia="Arial" w:hAnsi="Arial" w:cs="Arial"/>
                          <w:color w:val="112E51"/>
                        </w:rPr>
                        <w:t>We aim to develop an ArcGIS Business Analyst Certificate for students participating in our curriculum.</w:t>
                      </w:r>
                    </w:p>
                  </w:txbxContent>
                </v:textbox>
              </v:rect>
            </w:pict>
          </mc:Fallback>
        </mc:AlternateContent>
      </w:r>
      <w:r>
        <w:rPr>
          <w:noProof/>
        </w:rPr>
        <w:drawing>
          <wp:anchor distT="0" distB="0" distL="114300" distR="114300" simplePos="0" relativeHeight="251666432" behindDoc="0" locked="0" layoutInCell="1" hidden="0" allowOverlap="1" wp14:anchorId="5A06E606" wp14:editId="55B3622D">
            <wp:simplePos x="0" y="0"/>
            <wp:positionH relativeFrom="column">
              <wp:posOffset>1</wp:posOffset>
            </wp:positionH>
            <wp:positionV relativeFrom="paragraph">
              <wp:posOffset>-403224</wp:posOffset>
            </wp:positionV>
            <wp:extent cx="640080" cy="640080"/>
            <wp:effectExtent l="0" t="0" r="0" b="0"/>
            <wp:wrapNone/>
            <wp:docPr id="25" name="image3.png" descr="NSF Logo"/>
            <wp:cNvGraphicFramePr/>
            <a:graphic xmlns:a="http://schemas.openxmlformats.org/drawingml/2006/main">
              <a:graphicData uri="http://schemas.openxmlformats.org/drawingml/2006/picture">
                <pic:pic xmlns:pic="http://schemas.openxmlformats.org/drawingml/2006/picture">
                  <pic:nvPicPr>
                    <pic:cNvPr id="0" name="image3.png" descr="NSF Logo"/>
                    <pic:cNvPicPr preferRelativeResize="0"/>
                  </pic:nvPicPr>
                  <pic:blipFill>
                    <a:blip r:embed="rId10"/>
                    <a:srcRect/>
                    <a:stretch>
                      <a:fillRect/>
                    </a:stretch>
                  </pic:blipFill>
                  <pic:spPr>
                    <a:xfrm>
                      <a:off x="0" y="0"/>
                      <a:ext cx="640080" cy="640080"/>
                    </a:xfrm>
                    <a:prstGeom prst="rect">
                      <a:avLst/>
                    </a:prstGeom>
                    <a:ln/>
                  </pic:spPr>
                </pic:pic>
              </a:graphicData>
            </a:graphic>
          </wp:anchor>
        </w:drawing>
      </w:r>
    </w:p>
    <w:sectPr w:rsidR="00CA030A">
      <w:foot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3972D7" w14:textId="77777777" w:rsidR="00C7716F" w:rsidRDefault="00C7716F">
      <w:pPr>
        <w:spacing w:after="0" w:line="240" w:lineRule="auto"/>
      </w:pPr>
      <w:r>
        <w:separator/>
      </w:r>
    </w:p>
  </w:endnote>
  <w:endnote w:type="continuationSeparator" w:id="0">
    <w:p w14:paraId="259ADB4C" w14:textId="77777777" w:rsidR="00C7716F" w:rsidRDefault="00C771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522BA" w14:textId="77777777" w:rsidR="00CA030A" w:rsidRDefault="00CA030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14D336" w14:textId="77777777" w:rsidR="00C7716F" w:rsidRDefault="00C7716F">
      <w:pPr>
        <w:spacing w:after="0" w:line="240" w:lineRule="auto"/>
      </w:pPr>
      <w:r>
        <w:separator/>
      </w:r>
    </w:p>
  </w:footnote>
  <w:footnote w:type="continuationSeparator" w:id="0">
    <w:p w14:paraId="4C8E4DF7" w14:textId="77777777" w:rsidR="00C7716F" w:rsidRDefault="00C7716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030A"/>
    <w:rsid w:val="009C5135"/>
    <w:rsid w:val="00C7716F"/>
    <w:rsid w:val="00CA03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EBBF8"/>
  <w15:docId w15:val="{9CF5B2B8-2533-A34F-8807-C9E8B401C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2559"/>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semiHidden/>
    <w:unhideWhenUsed/>
    <w:rsid w:val="0041255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364F6"/>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s1EXortQfdec+UP8b0s7RUKuQIw==">AMUW2mXpAQBi/mUVMx6WlX9yj3tiDZkgFShDEh94wTds+QjVvvwjbx+aLba2z6Z9gHCgBsdPmlyWsqpsGRUhmk4DComSB//A232VwiKyMj7HEJ6WnUYZ4Ew=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Words>
  <Characters>9</Characters>
  <Application>Microsoft Office Word</Application>
  <DocSecurity>0</DocSecurity>
  <Lines>1</Lines>
  <Paragraphs>1</Paragraphs>
  <ScaleCrop>false</ScaleCrop>
  <Company/>
  <LinksUpToDate>false</LinksUpToDate>
  <CharactersWithSpaces>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Roche, Brianna</dc:creator>
  <cp:lastModifiedBy>Steven McGee</cp:lastModifiedBy>
  <cp:revision>2</cp:revision>
  <dcterms:created xsi:type="dcterms:W3CDTF">2022-10-26T19:36:00Z</dcterms:created>
  <dcterms:modified xsi:type="dcterms:W3CDTF">2022-10-27T22:54:00Z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0x01010038D5BEBA4C43EC49A9CFC5BD81A90916</vt:lpwstr>
  </property>
</Properties>
</file>