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A4EF3" w14:textId="77777777" w:rsidR="00165406" w:rsidRDefault="00B42541" w:rsidP="00165406">
      <w:pPr>
        <w:pStyle w:val="Title"/>
      </w:pPr>
      <w:bookmarkStart w:id="0" w:name="_Hlk507912788"/>
      <w:r>
        <w:t>“I’m going to fail”: How youth interpret failure across contextual boundaries</w:t>
      </w:r>
      <w:bookmarkEnd w:id="0"/>
    </w:p>
    <w:p w14:paraId="1723A821" w14:textId="77777777" w:rsidR="00165406" w:rsidRDefault="00165406" w:rsidP="00165406">
      <w:pPr>
        <w:pStyle w:val="BodyText"/>
      </w:pPr>
    </w:p>
    <w:p w14:paraId="4DF5CA63" w14:textId="77777777" w:rsidR="00165406" w:rsidRPr="001764B6" w:rsidRDefault="00F26B25" w:rsidP="00165406">
      <w:pPr>
        <w:pStyle w:val="BodyText"/>
        <w:jc w:val="center"/>
        <w:rPr>
          <w:szCs w:val="20"/>
        </w:rPr>
      </w:pPr>
      <w:r>
        <w:rPr>
          <w:szCs w:val="20"/>
        </w:rPr>
        <w:t>A</w:t>
      </w:r>
      <w:r w:rsidR="00B73E24">
        <w:rPr>
          <w:szCs w:val="20"/>
        </w:rPr>
        <w:t>mber Simpson</w:t>
      </w:r>
      <w:r w:rsidR="00165406" w:rsidRPr="001764B6">
        <w:rPr>
          <w:szCs w:val="20"/>
        </w:rPr>
        <w:t xml:space="preserve">, </w:t>
      </w:r>
      <w:r w:rsidR="00B73E24">
        <w:rPr>
          <w:szCs w:val="20"/>
        </w:rPr>
        <w:t>Binghamton University</w:t>
      </w:r>
      <w:r w:rsidR="00165406" w:rsidRPr="001764B6">
        <w:rPr>
          <w:szCs w:val="20"/>
        </w:rPr>
        <w:t xml:space="preserve">, </w:t>
      </w:r>
      <w:r w:rsidR="00B73E24">
        <w:rPr>
          <w:szCs w:val="20"/>
        </w:rPr>
        <w:t>asimpson@binghamton.edu</w:t>
      </w:r>
    </w:p>
    <w:p w14:paraId="69620DFB" w14:textId="77777777" w:rsidR="00165406" w:rsidRDefault="00B73E24" w:rsidP="00165406">
      <w:pPr>
        <w:pStyle w:val="BodyText"/>
        <w:jc w:val="center"/>
        <w:rPr>
          <w:szCs w:val="20"/>
        </w:rPr>
      </w:pPr>
      <w:r>
        <w:rPr>
          <w:szCs w:val="20"/>
        </w:rPr>
        <w:t>Alice Anderson</w:t>
      </w:r>
      <w:r w:rsidR="00165406" w:rsidRPr="001764B6">
        <w:rPr>
          <w:szCs w:val="20"/>
        </w:rPr>
        <w:t xml:space="preserve">, </w:t>
      </w:r>
      <w:r w:rsidR="00B36349">
        <w:rPr>
          <w:szCs w:val="20"/>
        </w:rPr>
        <w:t>Minneapolis Institute of Art</w:t>
      </w:r>
      <w:r w:rsidR="00165406" w:rsidRPr="001764B6">
        <w:rPr>
          <w:szCs w:val="20"/>
        </w:rPr>
        <w:t xml:space="preserve">, </w:t>
      </w:r>
      <w:r w:rsidR="00B36349" w:rsidRPr="00B36349">
        <w:rPr>
          <w:szCs w:val="20"/>
        </w:rPr>
        <w:t>aanderson@artsmia.org</w:t>
      </w:r>
    </w:p>
    <w:p w14:paraId="71BF441A" w14:textId="77777777" w:rsidR="0004358C" w:rsidRDefault="00F26B25" w:rsidP="0004358C">
      <w:pPr>
        <w:pStyle w:val="BodyText"/>
        <w:jc w:val="center"/>
        <w:rPr>
          <w:szCs w:val="20"/>
        </w:rPr>
      </w:pPr>
      <w:bookmarkStart w:id="1" w:name="_Hlk498447357"/>
      <w:r>
        <w:rPr>
          <w:szCs w:val="20"/>
        </w:rPr>
        <w:t>A</w:t>
      </w:r>
      <w:r w:rsidR="00B73E24">
        <w:rPr>
          <w:szCs w:val="20"/>
        </w:rPr>
        <w:t>dam Maltese</w:t>
      </w:r>
      <w:r w:rsidRPr="001764B6">
        <w:rPr>
          <w:szCs w:val="20"/>
        </w:rPr>
        <w:t>, I</w:t>
      </w:r>
      <w:r w:rsidR="00B36349">
        <w:rPr>
          <w:szCs w:val="20"/>
        </w:rPr>
        <w:t>ndiana University</w:t>
      </w:r>
      <w:r w:rsidRPr="001764B6">
        <w:rPr>
          <w:szCs w:val="20"/>
        </w:rPr>
        <w:t>,</w:t>
      </w:r>
      <w:bookmarkEnd w:id="1"/>
      <w:r w:rsidR="00B36349">
        <w:rPr>
          <w:szCs w:val="20"/>
        </w:rPr>
        <w:t xml:space="preserve"> amaltese@indiana.edu</w:t>
      </w:r>
    </w:p>
    <w:p w14:paraId="51A48531" w14:textId="77777777" w:rsidR="0004358C" w:rsidRDefault="00B73E24" w:rsidP="0004358C">
      <w:pPr>
        <w:pStyle w:val="BodyText"/>
        <w:jc w:val="center"/>
        <w:rPr>
          <w:szCs w:val="20"/>
        </w:rPr>
      </w:pPr>
      <w:r>
        <w:rPr>
          <w:szCs w:val="20"/>
        </w:rPr>
        <w:t>Megan Goeke</w:t>
      </w:r>
      <w:r w:rsidR="0004358C" w:rsidRPr="001764B6">
        <w:rPr>
          <w:szCs w:val="20"/>
        </w:rPr>
        <w:t xml:space="preserve">, </w:t>
      </w:r>
      <w:r w:rsidR="00B36349">
        <w:rPr>
          <w:szCs w:val="20"/>
        </w:rPr>
        <w:t>Science Museum of Minnesota</w:t>
      </w:r>
      <w:r w:rsidR="0004358C" w:rsidRPr="001764B6">
        <w:rPr>
          <w:szCs w:val="20"/>
        </w:rPr>
        <w:t xml:space="preserve">, </w:t>
      </w:r>
      <w:r w:rsidR="00B36349">
        <w:rPr>
          <w:szCs w:val="20"/>
        </w:rPr>
        <w:t>mgoeke@smm.org</w:t>
      </w:r>
    </w:p>
    <w:p w14:paraId="2F968A6F" w14:textId="77777777" w:rsidR="00F26B25" w:rsidRDefault="00F26B25" w:rsidP="00165406">
      <w:pPr>
        <w:pStyle w:val="Abstract"/>
        <w:rPr>
          <w:b/>
          <w:bCs/>
          <w:sz w:val="20"/>
          <w:szCs w:val="20"/>
        </w:rPr>
      </w:pPr>
    </w:p>
    <w:p w14:paraId="3D4991CD" w14:textId="5F86F6EB" w:rsidR="00165406" w:rsidRPr="001764B6" w:rsidRDefault="00165406" w:rsidP="00165406">
      <w:pPr>
        <w:pStyle w:val="Abstract"/>
        <w:rPr>
          <w:sz w:val="20"/>
          <w:szCs w:val="20"/>
        </w:rPr>
      </w:pPr>
      <w:r w:rsidRPr="001764B6">
        <w:rPr>
          <w:b/>
          <w:bCs/>
          <w:sz w:val="20"/>
          <w:szCs w:val="20"/>
        </w:rPr>
        <w:t xml:space="preserve">Abstract: </w:t>
      </w:r>
      <w:r w:rsidR="00B42541" w:rsidRPr="001764B6">
        <w:rPr>
          <w:sz w:val="20"/>
          <w:szCs w:val="20"/>
        </w:rPr>
        <w:t>P</w:t>
      </w:r>
      <w:r w:rsidR="00B42541">
        <w:rPr>
          <w:sz w:val="20"/>
          <w:szCs w:val="20"/>
        </w:rPr>
        <w:t>revious research on youth’s perceptions and reactions to failure established a view of failure as a negative, debilitating experience for youth, yet STEM and in particular making programs increasingly promote a ped</w:t>
      </w:r>
      <w:r w:rsidR="00121999">
        <w:rPr>
          <w:sz w:val="20"/>
          <w:szCs w:val="20"/>
        </w:rPr>
        <w:t>agogy of failures as productive</w:t>
      </w:r>
      <w:r w:rsidR="00B42541">
        <w:rPr>
          <w:sz w:val="20"/>
          <w:szCs w:val="20"/>
        </w:rPr>
        <w:t xml:space="preserve"> learning experiences. Looking to unpack perceptions of failure across contexts and potential differences between self-identified sexes, youth who participated in making activities were interviewed about their experiences with failure and thoughts about the term. Youth’s perceptions of failure fell into four categories: </w:t>
      </w:r>
      <w:r w:rsidR="00B42541" w:rsidRPr="00F86D34">
        <w:rPr>
          <w:i/>
          <w:sz w:val="20"/>
          <w:szCs w:val="20"/>
        </w:rPr>
        <w:t>failure as enhancing</w:t>
      </w:r>
      <w:r w:rsidR="00B42541">
        <w:rPr>
          <w:sz w:val="20"/>
          <w:szCs w:val="20"/>
        </w:rPr>
        <w:t xml:space="preserve">, </w:t>
      </w:r>
      <w:r w:rsidR="00B42541" w:rsidRPr="00F86D34">
        <w:rPr>
          <w:i/>
          <w:sz w:val="20"/>
          <w:szCs w:val="20"/>
        </w:rPr>
        <w:t>failure as debilitating</w:t>
      </w:r>
      <w:r w:rsidR="00B42541">
        <w:rPr>
          <w:sz w:val="20"/>
          <w:szCs w:val="20"/>
        </w:rPr>
        <w:t xml:space="preserve">, </w:t>
      </w:r>
      <w:r w:rsidR="00B42541" w:rsidRPr="00F86D34">
        <w:rPr>
          <w:i/>
          <w:sz w:val="20"/>
          <w:szCs w:val="20"/>
        </w:rPr>
        <w:t>failure as mosaic</w:t>
      </w:r>
      <w:r w:rsidR="00B42541">
        <w:rPr>
          <w:sz w:val="20"/>
          <w:szCs w:val="20"/>
        </w:rPr>
        <w:t xml:space="preserve">, and </w:t>
      </w:r>
      <w:r w:rsidR="00B42541" w:rsidRPr="00F86D34">
        <w:rPr>
          <w:i/>
          <w:sz w:val="20"/>
          <w:szCs w:val="20"/>
        </w:rPr>
        <w:t>failure as fluid</w:t>
      </w:r>
      <w:r w:rsidR="00B42541">
        <w:rPr>
          <w:sz w:val="20"/>
          <w:szCs w:val="20"/>
        </w:rPr>
        <w:t>. For the majority of youth</w:t>
      </w:r>
      <w:r w:rsidR="00E32B6B">
        <w:rPr>
          <w:sz w:val="20"/>
          <w:szCs w:val="20"/>
        </w:rPr>
        <w:t xml:space="preserve"> (70%)</w:t>
      </w:r>
      <w:r w:rsidR="00B42541">
        <w:rPr>
          <w:sz w:val="20"/>
          <w:szCs w:val="20"/>
        </w:rPr>
        <w:t xml:space="preserve">, their perception of failure transcended situational boundaries and was not entirely negative as previous research suggested. These results have implications on design of learning contexts and complicate prevailing understandings of </w:t>
      </w:r>
      <w:r w:rsidR="00B42541">
        <w:rPr>
          <w:sz w:val="20"/>
          <w:szCs w:val="20"/>
        </w:rPr>
        <w:t>youth</w:t>
      </w:r>
      <w:r w:rsidR="00CD71CD">
        <w:rPr>
          <w:sz w:val="20"/>
          <w:szCs w:val="20"/>
        </w:rPr>
        <w:t>s’</w:t>
      </w:r>
      <w:r w:rsidR="00B42541">
        <w:rPr>
          <w:sz w:val="20"/>
          <w:szCs w:val="20"/>
        </w:rPr>
        <w:t xml:space="preserve"> f</w:t>
      </w:r>
      <w:r w:rsidR="00B42541">
        <w:rPr>
          <w:sz w:val="20"/>
          <w:szCs w:val="20"/>
        </w:rPr>
        <w:t>ailure experiences.</w:t>
      </w:r>
    </w:p>
    <w:p w14:paraId="4A6B3845" w14:textId="77777777" w:rsidR="00165406" w:rsidRDefault="00F26B25" w:rsidP="00165406">
      <w:pPr>
        <w:pStyle w:val="Heading1"/>
      </w:pPr>
      <w:r>
        <w:t>Problem statement</w:t>
      </w:r>
    </w:p>
    <w:p w14:paraId="0E5A7DE5" w14:textId="4C27EBBC" w:rsidR="00000771" w:rsidRPr="00000771" w:rsidRDefault="00CF35AA" w:rsidP="004D46F4">
      <w:pPr>
        <w:pStyle w:val="BodyText"/>
        <w:rPr>
          <w:szCs w:val="20"/>
        </w:rPr>
      </w:pPr>
      <w:r>
        <w:rPr>
          <w:szCs w:val="20"/>
        </w:rPr>
        <w:t>Within science, technology, engineering, and mathematics (STEM)</w:t>
      </w:r>
      <w:r w:rsidR="00BC51AD">
        <w:rPr>
          <w:szCs w:val="20"/>
        </w:rPr>
        <w:t xml:space="preserve"> education</w:t>
      </w:r>
      <w:r>
        <w:rPr>
          <w:szCs w:val="20"/>
        </w:rPr>
        <w:t>, f</w:t>
      </w:r>
      <w:r w:rsidR="00000771" w:rsidRPr="00000771">
        <w:rPr>
          <w:szCs w:val="20"/>
        </w:rPr>
        <w:t>ailure has been viewed as the point in which an individual stops an activity (Thomas, 2014); as giving up or not trying (Lottero-Perdue &amp; Parry, 2014); as not obtaining an expected goal or outcome</w:t>
      </w:r>
      <w:r w:rsidR="00000771">
        <w:rPr>
          <w:szCs w:val="20"/>
        </w:rPr>
        <w:t xml:space="preserve"> (Bidjerano, 2010</w:t>
      </w:r>
      <w:r w:rsidR="00000771" w:rsidRPr="00000771">
        <w:rPr>
          <w:szCs w:val="20"/>
        </w:rPr>
        <w:t xml:space="preserve">); </w:t>
      </w:r>
      <w:r w:rsidR="00FA6E9B">
        <w:rPr>
          <w:szCs w:val="20"/>
        </w:rPr>
        <w:t>and</w:t>
      </w:r>
      <w:r w:rsidR="00FA6E9B" w:rsidRPr="00000771">
        <w:rPr>
          <w:szCs w:val="20"/>
        </w:rPr>
        <w:t xml:space="preserve"> </w:t>
      </w:r>
      <w:r w:rsidR="00000771" w:rsidRPr="00000771">
        <w:rPr>
          <w:szCs w:val="20"/>
        </w:rPr>
        <w:t>as a learning opportunity (</w:t>
      </w:r>
      <w:r w:rsidR="00920FEA">
        <w:rPr>
          <w:szCs w:val="20"/>
        </w:rPr>
        <w:t>Simpson &amp; Maltese</w:t>
      </w:r>
      <w:r w:rsidR="00000771" w:rsidRPr="00000771">
        <w:rPr>
          <w:szCs w:val="20"/>
        </w:rPr>
        <w:t xml:space="preserve">, 2017). Research has illustrated how </w:t>
      </w:r>
      <w:r w:rsidR="00000771">
        <w:rPr>
          <w:szCs w:val="20"/>
        </w:rPr>
        <w:t>youths</w:t>
      </w:r>
      <w:r w:rsidR="00000771" w:rsidRPr="00000771">
        <w:rPr>
          <w:szCs w:val="20"/>
        </w:rPr>
        <w:t xml:space="preserve">’ reactions to failure </w:t>
      </w:r>
      <w:r w:rsidR="00000771">
        <w:rPr>
          <w:szCs w:val="20"/>
        </w:rPr>
        <w:t>include hopelessness, depression, embarrassment</w:t>
      </w:r>
      <w:r w:rsidR="00000771" w:rsidRPr="00000771">
        <w:rPr>
          <w:szCs w:val="20"/>
        </w:rPr>
        <w:t>, negative self</w:t>
      </w:r>
      <w:r w:rsidR="00121999">
        <w:rPr>
          <w:szCs w:val="20"/>
        </w:rPr>
        <w:t xml:space="preserve">-feelings, decrease of interest </w:t>
      </w:r>
      <w:r w:rsidR="00000771" w:rsidRPr="00000771">
        <w:rPr>
          <w:szCs w:val="20"/>
        </w:rPr>
        <w:t>in a subject area, and reduced time in extracurricular activities</w:t>
      </w:r>
      <w:r w:rsidR="00D46B91">
        <w:rPr>
          <w:szCs w:val="20"/>
        </w:rPr>
        <w:t>,</w:t>
      </w:r>
      <w:r w:rsidR="00000771" w:rsidRPr="00000771">
        <w:rPr>
          <w:szCs w:val="20"/>
        </w:rPr>
        <w:t xml:space="preserve"> to name a f</w:t>
      </w:r>
      <w:r w:rsidR="00A16474">
        <w:rPr>
          <w:szCs w:val="20"/>
        </w:rPr>
        <w:t xml:space="preserve">ew (e.g., </w:t>
      </w:r>
      <w:r w:rsidR="00000771" w:rsidRPr="00000771">
        <w:rPr>
          <w:szCs w:val="20"/>
        </w:rPr>
        <w:t xml:space="preserve">Guler, 2013; Riketta &amp; Ziegler, 2007). </w:t>
      </w:r>
      <w:r w:rsidR="00000771">
        <w:rPr>
          <w:szCs w:val="20"/>
        </w:rPr>
        <w:t xml:space="preserve">Moreover, youth </w:t>
      </w:r>
      <w:r w:rsidR="00000771" w:rsidRPr="00000771">
        <w:rPr>
          <w:szCs w:val="20"/>
        </w:rPr>
        <w:t xml:space="preserve">tend to attribute experiences with failure to </w:t>
      </w:r>
      <w:r w:rsidR="00000771">
        <w:rPr>
          <w:szCs w:val="20"/>
        </w:rPr>
        <w:t xml:space="preserve">external loci or </w:t>
      </w:r>
      <w:r w:rsidR="00000771" w:rsidRPr="00000771">
        <w:rPr>
          <w:szCs w:val="20"/>
        </w:rPr>
        <w:t xml:space="preserve">factors out of their control (Weiner, 1986), </w:t>
      </w:r>
      <w:r w:rsidR="00000771">
        <w:rPr>
          <w:szCs w:val="20"/>
        </w:rPr>
        <w:t>such as boring presentations, unclear</w:t>
      </w:r>
      <w:r w:rsidR="00000771" w:rsidRPr="00000771">
        <w:rPr>
          <w:szCs w:val="20"/>
        </w:rPr>
        <w:t xml:space="preserve"> expectations, and task difficult</w:t>
      </w:r>
      <w:r w:rsidR="00E32B6B">
        <w:rPr>
          <w:szCs w:val="20"/>
        </w:rPr>
        <w:t xml:space="preserve">y (e.g., </w:t>
      </w:r>
      <w:r w:rsidR="00000771" w:rsidRPr="00000771">
        <w:rPr>
          <w:szCs w:val="20"/>
        </w:rPr>
        <w:t>Boruchovitch, 2004).</w:t>
      </w:r>
      <w:r w:rsidR="00BC51AD">
        <w:rPr>
          <w:szCs w:val="20"/>
        </w:rPr>
        <w:t xml:space="preserve"> As such, the presence of failures within and educational experience and youths’ reactions to failures typically dwell in a negative </w:t>
      </w:r>
      <w:r w:rsidR="00C638F4">
        <w:rPr>
          <w:szCs w:val="20"/>
        </w:rPr>
        <w:t>space, despite the promotion of failures to spur innovation or inventions (</w:t>
      </w:r>
      <w:r w:rsidR="00F34DE0">
        <w:rPr>
          <w:szCs w:val="20"/>
        </w:rPr>
        <w:t>Martin, 2014</w:t>
      </w:r>
      <w:r w:rsidR="00C638F4">
        <w:rPr>
          <w:szCs w:val="20"/>
        </w:rPr>
        <w:t>)</w:t>
      </w:r>
      <w:r w:rsidR="00F34DE0">
        <w:rPr>
          <w:szCs w:val="20"/>
        </w:rPr>
        <w:t>.</w:t>
      </w:r>
    </w:p>
    <w:p w14:paraId="409C70F7" w14:textId="56B79AD9" w:rsidR="00165406" w:rsidRDefault="00920FEA" w:rsidP="004D46F4">
      <w:pPr>
        <w:ind w:firstLine="720"/>
        <w:jc w:val="both"/>
        <w:rPr>
          <w:szCs w:val="20"/>
        </w:rPr>
      </w:pPr>
      <w:r>
        <w:rPr>
          <w:szCs w:val="20"/>
        </w:rPr>
        <w:t>However, a</w:t>
      </w:r>
      <w:r w:rsidR="004F0C63">
        <w:rPr>
          <w:szCs w:val="20"/>
        </w:rPr>
        <w:t xml:space="preserve">n emerging literature on experiences of failure within the making context suggests that </w:t>
      </w:r>
      <w:r w:rsidR="00BC51AD">
        <w:rPr>
          <w:szCs w:val="20"/>
        </w:rPr>
        <w:t>the added complexities of open-ended design</w:t>
      </w:r>
      <w:r w:rsidR="007E5295">
        <w:rPr>
          <w:szCs w:val="20"/>
        </w:rPr>
        <w:t xml:space="preserve"> (Litts</w:t>
      </w:r>
      <w:r>
        <w:rPr>
          <w:szCs w:val="20"/>
        </w:rPr>
        <w:t xml:space="preserve"> et al.</w:t>
      </w:r>
      <w:r w:rsidR="007E5295">
        <w:rPr>
          <w:szCs w:val="20"/>
        </w:rPr>
        <w:t>, 2016)</w:t>
      </w:r>
      <w:r w:rsidR="00BC51AD">
        <w:rPr>
          <w:szCs w:val="20"/>
        </w:rPr>
        <w:t xml:space="preserve">, hands-on materials </w:t>
      </w:r>
      <w:r w:rsidR="00C638F4">
        <w:rPr>
          <w:szCs w:val="20"/>
        </w:rPr>
        <w:t xml:space="preserve">(Sheridan et al., 2016) </w:t>
      </w:r>
      <w:r w:rsidR="00BC51AD">
        <w:rPr>
          <w:szCs w:val="20"/>
        </w:rPr>
        <w:t xml:space="preserve">and </w:t>
      </w:r>
      <w:r w:rsidR="007E5295">
        <w:rPr>
          <w:szCs w:val="20"/>
        </w:rPr>
        <w:t xml:space="preserve">multiple resources and supports (Ryoo et al., 2015) have the potential to reframe </w:t>
      </w:r>
      <w:r w:rsidR="007E5295">
        <w:rPr>
          <w:szCs w:val="20"/>
        </w:rPr>
        <w:t xml:space="preserve">failure </w:t>
      </w:r>
      <w:r w:rsidR="0067135C">
        <w:rPr>
          <w:szCs w:val="20"/>
        </w:rPr>
        <w:t>in a more positive light</w:t>
      </w:r>
      <w:r w:rsidR="007E5295">
        <w:rPr>
          <w:szCs w:val="20"/>
        </w:rPr>
        <w:t>.</w:t>
      </w:r>
      <w:r w:rsidR="00EF7FFE">
        <w:rPr>
          <w:szCs w:val="20"/>
        </w:rPr>
        <w:t xml:space="preserve"> </w:t>
      </w:r>
      <w:r w:rsidR="00B42541">
        <w:rPr>
          <w:szCs w:val="20"/>
        </w:rPr>
        <w:t xml:space="preserve">As such, the focus for this study was on making contexts as failure is considered an inherent and productive part of making (e.g., Martin, 2015), which may drive learning through reflection and the process of coming unstuck (Kapur, 2008). </w:t>
      </w:r>
      <w:r w:rsidR="00EF7FFE">
        <w:rPr>
          <w:szCs w:val="20"/>
        </w:rPr>
        <w:t>W</w:t>
      </w:r>
      <w:r w:rsidR="00000771" w:rsidRPr="00000771">
        <w:rPr>
          <w:szCs w:val="20"/>
        </w:rPr>
        <w:t xml:space="preserve">e </w:t>
      </w:r>
      <w:r w:rsidR="00EF7FFE">
        <w:rPr>
          <w:szCs w:val="20"/>
        </w:rPr>
        <w:t xml:space="preserve">present this work to </w:t>
      </w:r>
      <w:r w:rsidR="00465EEB">
        <w:rPr>
          <w:szCs w:val="20"/>
        </w:rPr>
        <w:t>continue building upon this making-related scholarship</w:t>
      </w:r>
      <w:r w:rsidR="00000771" w:rsidRPr="00000771">
        <w:rPr>
          <w:szCs w:val="20"/>
        </w:rPr>
        <w:t xml:space="preserve"> by posing </w:t>
      </w:r>
      <w:r w:rsidR="00E57817">
        <w:rPr>
          <w:szCs w:val="20"/>
        </w:rPr>
        <w:t>the following research question</w:t>
      </w:r>
      <w:r w:rsidR="00000771" w:rsidRPr="00000771">
        <w:rPr>
          <w:szCs w:val="20"/>
        </w:rPr>
        <w:t xml:space="preserve">: </w:t>
      </w:r>
      <w:r w:rsidR="00000771" w:rsidRPr="0004358C">
        <w:rPr>
          <w:i/>
          <w:szCs w:val="20"/>
        </w:rPr>
        <w:t>How does yo</w:t>
      </w:r>
      <w:r w:rsidR="00BC4A31" w:rsidRPr="0004358C">
        <w:rPr>
          <w:i/>
          <w:szCs w:val="20"/>
        </w:rPr>
        <w:t xml:space="preserve">uths’ view of failure transcend </w:t>
      </w:r>
      <w:r w:rsidR="00465EEB">
        <w:rPr>
          <w:i/>
          <w:szCs w:val="20"/>
        </w:rPr>
        <w:t xml:space="preserve">beyond </w:t>
      </w:r>
      <w:r w:rsidR="004F0C63">
        <w:rPr>
          <w:i/>
          <w:szCs w:val="20"/>
        </w:rPr>
        <w:t xml:space="preserve">making </w:t>
      </w:r>
      <w:r w:rsidR="00BC4A31" w:rsidRPr="0004358C">
        <w:rPr>
          <w:i/>
          <w:szCs w:val="20"/>
        </w:rPr>
        <w:t>contexts</w:t>
      </w:r>
      <w:r w:rsidR="00C638F4">
        <w:rPr>
          <w:i/>
          <w:szCs w:val="20"/>
        </w:rPr>
        <w:t xml:space="preserve"> and activities</w:t>
      </w:r>
      <w:r w:rsidR="00657448">
        <w:rPr>
          <w:i/>
          <w:szCs w:val="20"/>
        </w:rPr>
        <w:t>, if at all</w:t>
      </w:r>
      <w:r w:rsidR="00000771" w:rsidRPr="0004358C">
        <w:rPr>
          <w:i/>
          <w:szCs w:val="20"/>
        </w:rPr>
        <w:t>?</w:t>
      </w:r>
      <w:r w:rsidR="00657448">
        <w:rPr>
          <w:i/>
          <w:szCs w:val="20"/>
        </w:rPr>
        <w:t xml:space="preserve"> </w:t>
      </w:r>
      <w:r w:rsidR="00465EEB">
        <w:rPr>
          <w:szCs w:val="20"/>
        </w:rPr>
        <w:t xml:space="preserve">We define </w:t>
      </w:r>
      <w:r w:rsidR="00465EEB" w:rsidRPr="004A3788">
        <w:rPr>
          <w:i/>
          <w:szCs w:val="20"/>
        </w:rPr>
        <w:t>making contexts</w:t>
      </w:r>
      <w:r w:rsidR="00465EEB">
        <w:rPr>
          <w:szCs w:val="20"/>
        </w:rPr>
        <w:t xml:space="preserve"> as situations or spaces</w:t>
      </w:r>
      <w:r w:rsidR="00465EEB" w:rsidRPr="00000771">
        <w:rPr>
          <w:szCs w:val="20"/>
        </w:rPr>
        <w:t xml:space="preserve"> that invoke the creation of a tangible (e.g., robot) or digital object (e.g., computer program) for </w:t>
      </w:r>
      <w:r w:rsidR="00465EEB">
        <w:rPr>
          <w:szCs w:val="20"/>
        </w:rPr>
        <w:t xml:space="preserve">a purpose or </w:t>
      </w:r>
      <w:r w:rsidR="00465EEB" w:rsidRPr="00000771">
        <w:rPr>
          <w:szCs w:val="20"/>
        </w:rPr>
        <w:t>play</w:t>
      </w:r>
      <w:r w:rsidR="00465EEB">
        <w:rPr>
          <w:szCs w:val="20"/>
        </w:rPr>
        <w:t xml:space="preserve"> (Vossoughi &amp; Bevan, 2014). </w:t>
      </w:r>
      <w:r w:rsidR="00465EEB">
        <w:rPr>
          <w:i/>
          <w:szCs w:val="20"/>
        </w:rPr>
        <w:t xml:space="preserve">Making activities </w:t>
      </w:r>
      <w:r w:rsidR="00465EEB">
        <w:rPr>
          <w:szCs w:val="20"/>
        </w:rPr>
        <w:t xml:space="preserve">are defined as the type of task, problem, and/or investigation the maker is engaged including the available tools, materials, human resources, and support. </w:t>
      </w:r>
    </w:p>
    <w:p w14:paraId="4CA6851A" w14:textId="77777777" w:rsidR="00F26B25" w:rsidRDefault="00F26B25" w:rsidP="00F26B25">
      <w:pPr>
        <w:pStyle w:val="Heading1"/>
      </w:pPr>
      <w:r>
        <w:t>Theoretical grounding</w:t>
      </w:r>
    </w:p>
    <w:p w14:paraId="2B4D1A54" w14:textId="77777777" w:rsidR="00BC4A31" w:rsidRDefault="00BC4A31" w:rsidP="00F26B25">
      <w:pPr>
        <w:pStyle w:val="BodyText"/>
        <w:rPr>
          <w:szCs w:val="20"/>
        </w:rPr>
      </w:pPr>
      <w:r>
        <w:rPr>
          <w:szCs w:val="20"/>
        </w:rPr>
        <w:t xml:space="preserve">This study is grounded in the notion of boundaries, specifically the concepts of boundary objects and boundary crossing (Akkerman &amp; Bakker, 2011). </w:t>
      </w:r>
      <w:r w:rsidRPr="00657448">
        <w:rPr>
          <w:i/>
          <w:szCs w:val="20"/>
        </w:rPr>
        <w:t>Boundary objects</w:t>
      </w:r>
      <w:r>
        <w:rPr>
          <w:szCs w:val="20"/>
        </w:rPr>
        <w:t xml:space="preserve"> are defined as </w:t>
      </w:r>
      <w:r w:rsidR="006B652D">
        <w:rPr>
          <w:szCs w:val="20"/>
        </w:rPr>
        <w:t xml:space="preserve">concrete or abstract </w:t>
      </w:r>
      <w:r>
        <w:rPr>
          <w:szCs w:val="20"/>
        </w:rPr>
        <w:t xml:space="preserve">artifacts </w:t>
      </w:r>
      <w:r w:rsidR="006B652D">
        <w:rPr>
          <w:szCs w:val="20"/>
        </w:rPr>
        <w:t xml:space="preserve">that inhabit multiple intersecting sites and </w:t>
      </w:r>
      <w:r w:rsidR="00A86DF1">
        <w:rPr>
          <w:szCs w:val="20"/>
        </w:rPr>
        <w:t>can</w:t>
      </w:r>
      <w:r w:rsidR="006B652D">
        <w:rPr>
          <w:szCs w:val="20"/>
        </w:rPr>
        <w:t xml:space="preserve"> “</w:t>
      </w:r>
      <w:r w:rsidR="006B652D">
        <w:t>adapt to local needs and the constraints of the several parties employing them, yet robust enough to maintain a common identity across sites” (Star &amp; Griesemer, 1989, p. 393</w:t>
      </w:r>
      <w:r w:rsidR="00195949">
        <w:t>). Here, we conceptualize the word</w:t>
      </w:r>
      <w:r w:rsidR="006B652D">
        <w:t xml:space="preserve"> </w:t>
      </w:r>
      <w:r w:rsidR="006B652D" w:rsidRPr="00195949">
        <w:rPr>
          <w:i/>
        </w:rPr>
        <w:t>failure</w:t>
      </w:r>
      <w:r w:rsidR="006B652D">
        <w:t xml:space="preserve"> </w:t>
      </w:r>
      <w:r w:rsidR="00195949">
        <w:t xml:space="preserve">as a boundary object that has different meanings for different people across multiple </w:t>
      </w:r>
      <w:r w:rsidR="000C4065">
        <w:t>contexts</w:t>
      </w:r>
      <w:r w:rsidR="00733EA3">
        <w:t>, known as</w:t>
      </w:r>
      <w:r w:rsidR="000C4065">
        <w:t xml:space="preserve"> </w:t>
      </w:r>
      <w:r w:rsidR="00733EA3">
        <w:t xml:space="preserve">a </w:t>
      </w:r>
      <w:r w:rsidR="000C4065">
        <w:t>boundary crossing</w:t>
      </w:r>
      <w:r w:rsidR="00733EA3">
        <w:t xml:space="preserve">. As such, a </w:t>
      </w:r>
      <w:r w:rsidR="00733EA3" w:rsidRPr="00657448">
        <w:rPr>
          <w:i/>
        </w:rPr>
        <w:t>boundary crossing</w:t>
      </w:r>
      <w:r w:rsidR="00733EA3">
        <w:t xml:space="preserve"> is</w:t>
      </w:r>
      <w:r w:rsidR="000C4065">
        <w:t xml:space="preserve"> defined as transitions or interactions across sites (Suchman, 1994). In this study, boundary crossings include making, academic, and sporting contexts, among others. This theoretical grounding also affords researchers to consider the potential of boundary objects to invoke learning opportunities for youth (Akkerman &amp; Bakker, 2011). </w:t>
      </w:r>
    </w:p>
    <w:p w14:paraId="47F7C0DD" w14:textId="77777777" w:rsidR="00F26B25" w:rsidRDefault="00F26B25" w:rsidP="00F26B25">
      <w:pPr>
        <w:pStyle w:val="Heading1"/>
      </w:pPr>
      <w:r>
        <w:t>Methodology</w:t>
      </w:r>
    </w:p>
    <w:p w14:paraId="06AEA88B" w14:textId="7F563A5A" w:rsidR="00F26B25" w:rsidRPr="001764B6" w:rsidRDefault="00000771" w:rsidP="00F26B25">
      <w:pPr>
        <w:pStyle w:val="BodyText"/>
        <w:rPr>
          <w:szCs w:val="20"/>
        </w:rPr>
      </w:pPr>
      <w:r w:rsidRPr="00000771">
        <w:rPr>
          <w:szCs w:val="20"/>
        </w:rPr>
        <w:lastRenderedPageBreak/>
        <w:t xml:space="preserve">This study </w:t>
      </w:r>
      <w:r w:rsidR="004A3788">
        <w:rPr>
          <w:szCs w:val="20"/>
        </w:rPr>
        <w:t xml:space="preserve">is part of larger study in which we are examining how youth and educators attend, interpret, and respond to failure while engaging in making and tinkering activities. This particular study </w:t>
      </w:r>
      <w:r w:rsidRPr="00000771">
        <w:rPr>
          <w:szCs w:val="20"/>
        </w:rPr>
        <w:t>was situated within two locations that implement maker programming for youth, an informal educational setting (i.e., museum) and a formal educational setting (i.e., public middle school), both within the United States.</w:t>
      </w:r>
      <w:r w:rsidR="00BC4A31">
        <w:rPr>
          <w:szCs w:val="20"/>
        </w:rPr>
        <w:t xml:space="preserve"> Youth in grades 4-8 (ages 9</w:t>
      </w:r>
      <w:r>
        <w:rPr>
          <w:szCs w:val="20"/>
        </w:rPr>
        <w:t>-14) volunteered to be interviewed regarding their perception and experiences with failure</w:t>
      </w:r>
      <w:r w:rsidR="00082E6D">
        <w:rPr>
          <w:szCs w:val="20"/>
        </w:rPr>
        <w:t xml:space="preserve"> </w:t>
      </w:r>
      <w:r w:rsidR="00644125">
        <w:rPr>
          <w:szCs w:val="20"/>
        </w:rPr>
        <w:t>after</w:t>
      </w:r>
      <w:r w:rsidR="00082E6D">
        <w:rPr>
          <w:szCs w:val="20"/>
        </w:rPr>
        <w:t xml:space="preserve"> </w:t>
      </w:r>
      <w:r w:rsidR="001553C8">
        <w:rPr>
          <w:szCs w:val="20"/>
        </w:rPr>
        <w:t xml:space="preserve">participating in </w:t>
      </w:r>
      <w:r w:rsidR="00082E6D">
        <w:rPr>
          <w:szCs w:val="20"/>
        </w:rPr>
        <w:t>making-related activit</w:t>
      </w:r>
      <w:r w:rsidR="001553C8">
        <w:rPr>
          <w:szCs w:val="20"/>
        </w:rPr>
        <w:t>ies</w:t>
      </w:r>
      <w:r w:rsidR="001958F5">
        <w:rPr>
          <w:szCs w:val="20"/>
        </w:rPr>
        <w:t xml:space="preserve"> within one of three contexts (i.e., </w:t>
      </w:r>
      <w:r w:rsidR="00A16474">
        <w:rPr>
          <w:szCs w:val="20"/>
        </w:rPr>
        <w:t xml:space="preserve">summer </w:t>
      </w:r>
      <w:r w:rsidR="001958F5">
        <w:rPr>
          <w:szCs w:val="20"/>
        </w:rPr>
        <w:t>camp, drop-in, school)</w:t>
      </w:r>
      <w:r w:rsidR="001B513D">
        <w:rPr>
          <w:szCs w:val="20"/>
        </w:rPr>
        <w:t>,</w:t>
      </w:r>
      <w:r w:rsidR="001958F5">
        <w:rPr>
          <w:szCs w:val="20"/>
        </w:rPr>
        <w:t xml:space="preserve"> and</w:t>
      </w:r>
      <w:r w:rsidR="001B513D">
        <w:rPr>
          <w:szCs w:val="20"/>
        </w:rPr>
        <w:t xml:space="preserve"> how this compare</w:t>
      </w:r>
      <w:r w:rsidR="001958F5">
        <w:rPr>
          <w:szCs w:val="20"/>
        </w:rPr>
        <w:t>d</w:t>
      </w:r>
      <w:r w:rsidR="001B513D">
        <w:rPr>
          <w:szCs w:val="20"/>
        </w:rPr>
        <w:t xml:space="preserve"> to their perception and experiences with failure in other areas of their life</w:t>
      </w:r>
      <w:r>
        <w:rPr>
          <w:szCs w:val="20"/>
        </w:rPr>
        <w:t xml:space="preserve">. </w:t>
      </w:r>
      <w:r w:rsidR="00130E7C">
        <w:rPr>
          <w:szCs w:val="20"/>
        </w:rPr>
        <w:t>We interviewed 1</w:t>
      </w:r>
      <w:r w:rsidR="00793E15">
        <w:rPr>
          <w:szCs w:val="20"/>
        </w:rPr>
        <w:t>33</w:t>
      </w:r>
      <w:r w:rsidR="00636373">
        <w:rPr>
          <w:szCs w:val="20"/>
        </w:rPr>
        <w:t xml:space="preserve"> youth:</w:t>
      </w:r>
      <w:r w:rsidR="00644125" w:rsidRPr="00644125">
        <w:rPr>
          <w:szCs w:val="20"/>
        </w:rPr>
        <w:t xml:space="preserve"> </w:t>
      </w:r>
      <w:r w:rsidR="001B513D">
        <w:rPr>
          <w:szCs w:val="20"/>
        </w:rPr>
        <w:t>43</w:t>
      </w:r>
      <w:r w:rsidR="00082E6D" w:rsidRPr="00644125">
        <w:rPr>
          <w:szCs w:val="20"/>
        </w:rPr>
        <w:t xml:space="preserve"> </w:t>
      </w:r>
      <w:r w:rsidR="0072554F">
        <w:rPr>
          <w:szCs w:val="20"/>
        </w:rPr>
        <w:t>in a</w:t>
      </w:r>
      <w:r w:rsidR="00733EA3">
        <w:rPr>
          <w:szCs w:val="20"/>
        </w:rPr>
        <w:t>n academic</w:t>
      </w:r>
      <w:r w:rsidR="0072554F">
        <w:rPr>
          <w:szCs w:val="20"/>
        </w:rPr>
        <w:t xml:space="preserve"> </w:t>
      </w:r>
      <w:r w:rsidR="00130E7C">
        <w:rPr>
          <w:szCs w:val="20"/>
        </w:rPr>
        <w:t>setting, 46</w:t>
      </w:r>
      <w:r w:rsidR="00082E6D" w:rsidRPr="00644125">
        <w:rPr>
          <w:szCs w:val="20"/>
        </w:rPr>
        <w:t xml:space="preserve"> </w:t>
      </w:r>
      <w:r w:rsidR="00636373">
        <w:rPr>
          <w:szCs w:val="20"/>
        </w:rPr>
        <w:t>enrolled</w:t>
      </w:r>
      <w:r w:rsidR="0072554F">
        <w:rPr>
          <w:szCs w:val="20"/>
        </w:rPr>
        <w:t xml:space="preserve"> in a</w:t>
      </w:r>
      <w:r w:rsidR="00644125" w:rsidRPr="00644125">
        <w:rPr>
          <w:szCs w:val="20"/>
        </w:rPr>
        <w:t xml:space="preserve"> </w:t>
      </w:r>
      <w:r w:rsidR="002D390C" w:rsidRPr="00644125">
        <w:rPr>
          <w:szCs w:val="20"/>
        </w:rPr>
        <w:t>week</w:t>
      </w:r>
      <w:r w:rsidR="00C83404">
        <w:rPr>
          <w:szCs w:val="20"/>
        </w:rPr>
        <w:t>-</w:t>
      </w:r>
      <w:r w:rsidR="002D390C" w:rsidRPr="00644125">
        <w:rPr>
          <w:szCs w:val="20"/>
        </w:rPr>
        <w:t>l</w:t>
      </w:r>
      <w:r w:rsidR="002D390C">
        <w:rPr>
          <w:szCs w:val="20"/>
        </w:rPr>
        <w:t>ong maker</w:t>
      </w:r>
      <w:r w:rsidR="00612F46">
        <w:rPr>
          <w:szCs w:val="20"/>
        </w:rPr>
        <w:t xml:space="preserve"> focused</w:t>
      </w:r>
      <w:r w:rsidR="002D390C" w:rsidRPr="00644125">
        <w:rPr>
          <w:szCs w:val="20"/>
        </w:rPr>
        <w:t xml:space="preserve"> </w:t>
      </w:r>
      <w:r w:rsidR="00644125" w:rsidRPr="00644125">
        <w:rPr>
          <w:szCs w:val="20"/>
        </w:rPr>
        <w:t>summer camp</w:t>
      </w:r>
      <w:r w:rsidR="00BC4A31" w:rsidRPr="00644125">
        <w:rPr>
          <w:szCs w:val="20"/>
        </w:rPr>
        <w:t xml:space="preserve"> </w:t>
      </w:r>
      <w:r w:rsidR="00DB456E">
        <w:rPr>
          <w:szCs w:val="20"/>
        </w:rPr>
        <w:t>held at a science museum</w:t>
      </w:r>
      <w:r w:rsidR="00130E7C">
        <w:rPr>
          <w:szCs w:val="20"/>
        </w:rPr>
        <w:t xml:space="preserve">, and </w:t>
      </w:r>
      <w:r w:rsidR="00793E15">
        <w:rPr>
          <w:szCs w:val="20"/>
        </w:rPr>
        <w:t>44</w:t>
      </w:r>
      <w:r w:rsidR="00130E7C">
        <w:rPr>
          <w:szCs w:val="20"/>
        </w:rPr>
        <w:t xml:space="preserve"> </w:t>
      </w:r>
      <w:r w:rsidR="00636373">
        <w:rPr>
          <w:szCs w:val="20"/>
        </w:rPr>
        <w:t xml:space="preserve">in an informal drop-in </w:t>
      </w:r>
      <w:r w:rsidR="00644125" w:rsidRPr="00644125">
        <w:rPr>
          <w:szCs w:val="20"/>
        </w:rPr>
        <w:t>exploration setting</w:t>
      </w:r>
      <w:r w:rsidR="00DB456E">
        <w:rPr>
          <w:szCs w:val="20"/>
        </w:rPr>
        <w:t xml:space="preserve"> at the same museum</w:t>
      </w:r>
      <w:r w:rsidR="00BC4A31" w:rsidRPr="00644125">
        <w:rPr>
          <w:szCs w:val="20"/>
        </w:rPr>
        <w:t>.</w:t>
      </w:r>
      <w:r w:rsidR="001958F5">
        <w:rPr>
          <w:szCs w:val="20"/>
        </w:rPr>
        <w:t xml:space="preserve"> Participants across the three contexts were engaged in a variety of making-related activities, which we categorized using Bevan’s (2017) three types of educative Maker activities - </w:t>
      </w:r>
      <w:r w:rsidR="001958F5">
        <w:rPr>
          <w:i/>
          <w:szCs w:val="20"/>
        </w:rPr>
        <w:t xml:space="preserve">assembly, creative construction, </w:t>
      </w:r>
      <w:r w:rsidR="001958F5">
        <w:rPr>
          <w:szCs w:val="20"/>
        </w:rPr>
        <w:t xml:space="preserve">and </w:t>
      </w:r>
      <w:r w:rsidR="001958F5">
        <w:rPr>
          <w:i/>
          <w:szCs w:val="20"/>
        </w:rPr>
        <w:t xml:space="preserve">tinkering. </w:t>
      </w:r>
      <w:r w:rsidR="001958F5">
        <w:rPr>
          <w:szCs w:val="20"/>
        </w:rPr>
        <w:t xml:space="preserve">Assembly refers </w:t>
      </w:r>
      <w:r w:rsidR="00A97166">
        <w:rPr>
          <w:szCs w:val="20"/>
        </w:rPr>
        <w:t xml:space="preserve">to activities that are structured or procedural; creative construction to activities that were based on a pre-set design goal and included some constraints; and tinkering to activities that provided opportunities for exploration and experimentation without a goal in mind. </w:t>
      </w:r>
      <w:r>
        <w:rPr>
          <w:szCs w:val="20"/>
        </w:rPr>
        <w:t xml:space="preserve">Interviews averaged 13 minutes in length and </w:t>
      </w:r>
      <w:r w:rsidR="000869DB">
        <w:rPr>
          <w:szCs w:val="20"/>
        </w:rPr>
        <w:t xml:space="preserve">were </w:t>
      </w:r>
      <w:r>
        <w:rPr>
          <w:szCs w:val="20"/>
        </w:rPr>
        <w:t>transcribed verbatim.</w:t>
      </w:r>
    </w:p>
    <w:p w14:paraId="75849032" w14:textId="77777777" w:rsidR="00165406" w:rsidRPr="004B616D" w:rsidRDefault="00F26B25" w:rsidP="00165406">
      <w:pPr>
        <w:pStyle w:val="Heading2"/>
      </w:pPr>
      <w:r>
        <w:t>Data analysis</w:t>
      </w:r>
    </w:p>
    <w:p w14:paraId="799CB4BD" w14:textId="6A75CE71" w:rsidR="007D5B1D" w:rsidRDefault="00EC4A43" w:rsidP="00DD212A">
      <w:pPr>
        <w:pStyle w:val="BodyText"/>
        <w:rPr>
          <w:szCs w:val="20"/>
        </w:rPr>
      </w:pPr>
      <w:r>
        <w:rPr>
          <w:szCs w:val="20"/>
        </w:rPr>
        <w:t>Each interview was</w:t>
      </w:r>
      <w:r w:rsidR="007D5B1D" w:rsidRPr="007D5B1D">
        <w:rPr>
          <w:szCs w:val="20"/>
        </w:rPr>
        <w:t xml:space="preserve"> analyzed </w:t>
      </w:r>
      <w:r w:rsidR="00E842BD">
        <w:rPr>
          <w:szCs w:val="20"/>
        </w:rPr>
        <w:t xml:space="preserve">by two researchers </w:t>
      </w:r>
      <w:r>
        <w:rPr>
          <w:szCs w:val="20"/>
        </w:rPr>
        <w:t xml:space="preserve">using </w:t>
      </w:r>
      <w:r w:rsidRPr="00A86DF1">
        <w:rPr>
          <w:szCs w:val="20"/>
        </w:rPr>
        <w:t xml:space="preserve">a </w:t>
      </w:r>
      <w:r w:rsidR="00AA018C">
        <w:rPr>
          <w:szCs w:val="20"/>
        </w:rPr>
        <w:t xml:space="preserve">constant-comparative </w:t>
      </w:r>
      <w:r w:rsidRPr="00A86DF1">
        <w:rPr>
          <w:szCs w:val="20"/>
        </w:rPr>
        <w:t>holistic</w:t>
      </w:r>
      <w:r w:rsidR="007D5B1D" w:rsidRPr="00A86DF1">
        <w:rPr>
          <w:szCs w:val="20"/>
        </w:rPr>
        <w:t xml:space="preserve"> coding</w:t>
      </w:r>
      <w:r w:rsidR="007D5B1D" w:rsidRPr="007D5B1D">
        <w:rPr>
          <w:szCs w:val="20"/>
        </w:rPr>
        <w:t xml:space="preserve"> process </w:t>
      </w:r>
      <w:r w:rsidR="00A86DF1">
        <w:rPr>
          <w:szCs w:val="20"/>
        </w:rPr>
        <w:t>as the research team had an idea of what might emerge from the data based on experiences with youth in makerspaces (</w:t>
      </w:r>
      <w:r w:rsidR="00AA018C">
        <w:rPr>
          <w:szCs w:val="20"/>
        </w:rPr>
        <w:t xml:space="preserve">Fram, 2013; </w:t>
      </w:r>
      <w:r w:rsidR="00A86DF1">
        <w:rPr>
          <w:szCs w:val="20"/>
        </w:rPr>
        <w:t>Saldaña, 2013</w:t>
      </w:r>
      <w:r w:rsidR="007D5B1D" w:rsidRPr="007D5B1D">
        <w:rPr>
          <w:szCs w:val="20"/>
        </w:rPr>
        <w:t>)</w:t>
      </w:r>
      <w:r w:rsidR="00A86DF1">
        <w:rPr>
          <w:szCs w:val="20"/>
        </w:rPr>
        <w:t>. Researchers read and reread through each interview to gain an understanding of youth</w:t>
      </w:r>
      <w:r w:rsidR="004A3788">
        <w:rPr>
          <w:szCs w:val="20"/>
        </w:rPr>
        <w:t>s’ mindset</w:t>
      </w:r>
      <w:r w:rsidR="00A86DF1">
        <w:rPr>
          <w:szCs w:val="20"/>
        </w:rPr>
        <w:t xml:space="preserve"> </w:t>
      </w:r>
      <w:r w:rsidR="004A3788">
        <w:rPr>
          <w:szCs w:val="20"/>
        </w:rPr>
        <w:t>around</w:t>
      </w:r>
      <w:r w:rsidR="00A86DF1">
        <w:rPr>
          <w:szCs w:val="20"/>
        </w:rPr>
        <w:t xml:space="preserve"> fai</w:t>
      </w:r>
      <w:r w:rsidR="008026F3">
        <w:rPr>
          <w:szCs w:val="20"/>
        </w:rPr>
        <w:t>lure across various sites.</w:t>
      </w:r>
      <w:r w:rsidR="004A3788">
        <w:rPr>
          <w:szCs w:val="20"/>
        </w:rPr>
        <w:t xml:space="preserve"> Specifically, we utilized and built upon Dweck’s (2006) scholarship on fixed and growth mindsets. As argued by Dweck, individuals’ mindsets tend to change based on context (e.g., mathematics versus art class).</w:t>
      </w:r>
      <w:r w:rsidR="008026F3">
        <w:rPr>
          <w:szCs w:val="20"/>
        </w:rPr>
        <w:t xml:space="preserve"> F</w:t>
      </w:r>
      <w:r w:rsidR="004A3788">
        <w:rPr>
          <w:szCs w:val="20"/>
        </w:rPr>
        <w:t>rom our analysis, f</w:t>
      </w:r>
      <w:r w:rsidR="008026F3">
        <w:rPr>
          <w:szCs w:val="20"/>
        </w:rPr>
        <w:t>our</w:t>
      </w:r>
      <w:r w:rsidR="00A86DF1">
        <w:rPr>
          <w:szCs w:val="20"/>
        </w:rPr>
        <w:t xml:space="preserve"> categories</w:t>
      </w:r>
      <w:r w:rsidR="002147F9" w:rsidRPr="002147F9">
        <w:rPr>
          <w:szCs w:val="20"/>
        </w:rPr>
        <w:t xml:space="preserve"> </w:t>
      </w:r>
      <w:r w:rsidR="002147F9">
        <w:rPr>
          <w:szCs w:val="20"/>
        </w:rPr>
        <w:t xml:space="preserve">surfaced: </w:t>
      </w:r>
      <w:r w:rsidR="002147F9" w:rsidRPr="0004358C">
        <w:rPr>
          <w:i/>
          <w:szCs w:val="20"/>
        </w:rPr>
        <w:t>failure as enhancing</w:t>
      </w:r>
      <w:r w:rsidR="002147F9">
        <w:rPr>
          <w:szCs w:val="20"/>
        </w:rPr>
        <w:t xml:space="preserve">, </w:t>
      </w:r>
      <w:r w:rsidR="008026F3" w:rsidRPr="0004358C">
        <w:rPr>
          <w:i/>
          <w:szCs w:val="20"/>
        </w:rPr>
        <w:t>failure as debilitating</w:t>
      </w:r>
      <w:r w:rsidR="008026F3">
        <w:rPr>
          <w:szCs w:val="20"/>
        </w:rPr>
        <w:t>,</w:t>
      </w:r>
      <w:r w:rsidR="002147F9">
        <w:rPr>
          <w:szCs w:val="20"/>
        </w:rPr>
        <w:t xml:space="preserve"> </w:t>
      </w:r>
      <w:r w:rsidR="002147F9" w:rsidRPr="0004358C">
        <w:rPr>
          <w:i/>
          <w:szCs w:val="20"/>
        </w:rPr>
        <w:t xml:space="preserve">failure as </w:t>
      </w:r>
      <w:r w:rsidR="000D542C" w:rsidRPr="0004358C">
        <w:rPr>
          <w:i/>
          <w:szCs w:val="20"/>
        </w:rPr>
        <w:t>mosaic</w:t>
      </w:r>
      <w:r w:rsidR="008026F3">
        <w:rPr>
          <w:szCs w:val="20"/>
        </w:rPr>
        <w:t xml:space="preserve">, and </w:t>
      </w:r>
      <w:r w:rsidR="008026F3" w:rsidRPr="0004358C">
        <w:rPr>
          <w:i/>
          <w:szCs w:val="20"/>
        </w:rPr>
        <w:t>failure as fluid</w:t>
      </w:r>
      <w:r w:rsidR="00AA018C">
        <w:rPr>
          <w:szCs w:val="20"/>
        </w:rPr>
        <w:t xml:space="preserve">. </w:t>
      </w:r>
      <w:r w:rsidR="00AA018C" w:rsidRPr="0004358C">
        <w:rPr>
          <w:i/>
          <w:szCs w:val="20"/>
        </w:rPr>
        <w:t>Failure as E</w:t>
      </w:r>
      <w:r w:rsidR="002147F9" w:rsidRPr="0004358C">
        <w:rPr>
          <w:i/>
          <w:szCs w:val="20"/>
        </w:rPr>
        <w:t>nhancing</w:t>
      </w:r>
      <w:r w:rsidR="002147F9">
        <w:rPr>
          <w:szCs w:val="20"/>
        </w:rPr>
        <w:t xml:space="preserve"> indicates a view of failure as an opportunity for growth and opens up a space for moving forward productively</w:t>
      </w:r>
      <w:r w:rsidR="000D542C">
        <w:rPr>
          <w:szCs w:val="20"/>
        </w:rPr>
        <w:t>; a learning-oriented perspective</w:t>
      </w:r>
      <w:r w:rsidR="00AA018C">
        <w:rPr>
          <w:szCs w:val="20"/>
        </w:rPr>
        <w:t xml:space="preserve">. </w:t>
      </w:r>
      <w:r w:rsidR="00AA018C" w:rsidRPr="0004358C">
        <w:rPr>
          <w:i/>
          <w:szCs w:val="20"/>
        </w:rPr>
        <w:t>Failure as D</w:t>
      </w:r>
      <w:r w:rsidR="002147F9" w:rsidRPr="0004358C">
        <w:rPr>
          <w:i/>
          <w:szCs w:val="20"/>
        </w:rPr>
        <w:t>ebilitating</w:t>
      </w:r>
      <w:r w:rsidR="000D542C">
        <w:rPr>
          <w:szCs w:val="20"/>
        </w:rPr>
        <w:t xml:space="preserve"> indicates a view of failure as hindering one’s progress</w:t>
      </w:r>
      <w:r w:rsidR="00270CBF">
        <w:rPr>
          <w:szCs w:val="20"/>
        </w:rPr>
        <w:t xml:space="preserve"> and a need for help</w:t>
      </w:r>
      <w:r w:rsidR="006A0DBD">
        <w:rPr>
          <w:szCs w:val="20"/>
        </w:rPr>
        <w:t xml:space="preserve"> to continue toward one’s goal or end product</w:t>
      </w:r>
      <w:r w:rsidR="000D542C" w:rsidRPr="00270CBF">
        <w:rPr>
          <w:szCs w:val="20"/>
        </w:rPr>
        <w:t>;</w:t>
      </w:r>
      <w:r w:rsidR="000D542C">
        <w:rPr>
          <w:szCs w:val="20"/>
        </w:rPr>
        <w:t xml:space="preserve"> a performance-or</w:t>
      </w:r>
      <w:r w:rsidR="00AA018C">
        <w:rPr>
          <w:szCs w:val="20"/>
        </w:rPr>
        <w:t xml:space="preserve">iented perspective. </w:t>
      </w:r>
      <w:r w:rsidR="00AA018C" w:rsidRPr="0004358C">
        <w:rPr>
          <w:i/>
          <w:szCs w:val="20"/>
        </w:rPr>
        <w:t>Failure as M</w:t>
      </w:r>
      <w:r w:rsidR="000D542C" w:rsidRPr="0004358C">
        <w:rPr>
          <w:i/>
          <w:szCs w:val="20"/>
        </w:rPr>
        <w:t>osaic</w:t>
      </w:r>
      <w:r w:rsidR="000D542C">
        <w:rPr>
          <w:szCs w:val="20"/>
        </w:rPr>
        <w:t xml:space="preserve"> indicates a view of failure as enhancing in some contexts and debilitating in other context</w:t>
      </w:r>
      <w:r w:rsidR="00636373">
        <w:rPr>
          <w:szCs w:val="20"/>
        </w:rPr>
        <w:t>s</w:t>
      </w:r>
      <w:r w:rsidR="000D542C">
        <w:rPr>
          <w:szCs w:val="20"/>
        </w:rPr>
        <w:t xml:space="preserve">. </w:t>
      </w:r>
      <w:r w:rsidR="00E842BD">
        <w:rPr>
          <w:szCs w:val="20"/>
        </w:rPr>
        <w:t xml:space="preserve">Lastly, </w:t>
      </w:r>
      <w:r w:rsidR="00E842BD" w:rsidRPr="0004358C">
        <w:rPr>
          <w:i/>
          <w:szCs w:val="20"/>
        </w:rPr>
        <w:t>F</w:t>
      </w:r>
      <w:r w:rsidR="00AA018C" w:rsidRPr="0004358C">
        <w:rPr>
          <w:i/>
          <w:szCs w:val="20"/>
        </w:rPr>
        <w:t>ailure as F</w:t>
      </w:r>
      <w:r w:rsidR="008026F3" w:rsidRPr="0004358C">
        <w:rPr>
          <w:i/>
          <w:szCs w:val="20"/>
        </w:rPr>
        <w:t>luid</w:t>
      </w:r>
      <w:r w:rsidR="008026F3">
        <w:rPr>
          <w:szCs w:val="20"/>
        </w:rPr>
        <w:t xml:space="preserve"> indicates neither a positi</w:t>
      </w:r>
      <w:r w:rsidR="00636373">
        <w:rPr>
          <w:szCs w:val="20"/>
        </w:rPr>
        <w:t xml:space="preserve">ve or negative view of failure; </w:t>
      </w:r>
      <w:r w:rsidR="00446300" w:rsidRPr="00121FE6">
        <w:rPr>
          <w:szCs w:val="20"/>
        </w:rPr>
        <w:t>allow</w:t>
      </w:r>
      <w:r w:rsidR="00A20EAD">
        <w:rPr>
          <w:szCs w:val="20"/>
        </w:rPr>
        <w:t>ing</w:t>
      </w:r>
      <w:r w:rsidR="00446300">
        <w:rPr>
          <w:szCs w:val="20"/>
        </w:rPr>
        <w:t xml:space="preserve"> failure to direct a course of action</w:t>
      </w:r>
      <w:r w:rsidR="00121FE6">
        <w:rPr>
          <w:szCs w:val="20"/>
        </w:rPr>
        <w:t xml:space="preserve"> through a “go with the flow” mentality.</w:t>
      </w:r>
      <w:r w:rsidR="008026F3">
        <w:rPr>
          <w:szCs w:val="20"/>
        </w:rPr>
        <w:t xml:space="preserve"> </w:t>
      </w:r>
      <w:r w:rsidR="00A97166">
        <w:rPr>
          <w:szCs w:val="20"/>
        </w:rPr>
        <w:t xml:space="preserve">Next, we conducted </w:t>
      </w:r>
      <w:r w:rsidR="00A452C3">
        <w:rPr>
          <w:szCs w:val="20"/>
        </w:rPr>
        <w:t xml:space="preserve">two </w:t>
      </w:r>
      <w:r w:rsidR="00A97166" w:rsidRPr="00A97166">
        <w:rPr>
          <w:szCs w:val="20"/>
        </w:rPr>
        <w:t xml:space="preserve">Kruskal-Wallis tests </w:t>
      </w:r>
      <w:r w:rsidR="00A97166">
        <w:rPr>
          <w:szCs w:val="20"/>
        </w:rPr>
        <w:t>(by making context and by making activity)</w:t>
      </w:r>
      <w:r w:rsidR="00A97166" w:rsidRPr="00A97166">
        <w:rPr>
          <w:szCs w:val="20"/>
        </w:rPr>
        <w:t xml:space="preserve"> to </w:t>
      </w:r>
      <w:r w:rsidR="00A452C3">
        <w:rPr>
          <w:szCs w:val="20"/>
        </w:rPr>
        <w:t>determine if statistically significant differences existed</w:t>
      </w:r>
      <w:r w:rsidR="00A97166" w:rsidRPr="00A97166">
        <w:rPr>
          <w:szCs w:val="20"/>
        </w:rPr>
        <w:t xml:space="preserve"> among the four groups</w:t>
      </w:r>
      <w:r w:rsidR="00A97166">
        <w:rPr>
          <w:szCs w:val="20"/>
        </w:rPr>
        <w:t xml:space="preserve"> or four categories</w:t>
      </w:r>
      <w:r w:rsidR="00A97166" w:rsidRPr="00A97166">
        <w:rPr>
          <w:szCs w:val="20"/>
        </w:rPr>
        <w:t>.</w:t>
      </w:r>
      <w:r w:rsidR="00722333">
        <w:rPr>
          <w:szCs w:val="20"/>
        </w:rPr>
        <w:t xml:space="preserve"> If differences were found, r</w:t>
      </w:r>
      <w:r w:rsidR="00722333" w:rsidRPr="00722333">
        <w:rPr>
          <w:szCs w:val="20"/>
        </w:rPr>
        <w:t>esearchers conducted post hoc Mann-Whitney U test to evaluate pairwise differences among the four groups. To control for Type I error, the researchers used the Bonferroni correction (</w:t>
      </w:r>
      <m:oMath>
        <m:r>
          <w:rPr>
            <w:rFonts w:ascii="Cambria Math" w:hAnsi="Cambria Math"/>
            <w:szCs w:val="20"/>
          </w:rPr>
          <m:t xml:space="preserve">α= </m:t>
        </m:r>
      </m:oMath>
      <w:r w:rsidR="00722333" w:rsidRPr="00722333">
        <w:rPr>
          <w:szCs w:val="20"/>
        </w:rPr>
        <w:t>.008).</w:t>
      </w:r>
    </w:p>
    <w:p w14:paraId="0BCEAA21" w14:textId="77777777" w:rsidR="00F26B25" w:rsidRDefault="00F26B25" w:rsidP="00F26B25">
      <w:pPr>
        <w:pStyle w:val="Heading1"/>
      </w:pPr>
      <w:r>
        <w:t>Findings</w:t>
      </w:r>
    </w:p>
    <w:p w14:paraId="12616405" w14:textId="3CCBA992" w:rsidR="00165406" w:rsidRDefault="00AA018C" w:rsidP="00F26B25">
      <w:pPr>
        <w:pStyle w:val="BodyTextFirstIndent"/>
        <w:ind w:firstLine="0"/>
        <w:rPr>
          <w:szCs w:val="20"/>
        </w:rPr>
      </w:pPr>
      <w:r>
        <w:rPr>
          <w:szCs w:val="20"/>
        </w:rPr>
        <w:t xml:space="preserve">With the exception of </w:t>
      </w:r>
      <w:r w:rsidRPr="0004358C">
        <w:rPr>
          <w:i/>
          <w:szCs w:val="20"/>
        </w:rPr>
        <w:t>Failure as Mosaic</w:t>
      </w:r>
      <w:r>
        <w:rPr>
          <w:szCs w:val="20"/>
        </w:rPr>
        <w:t xml:space="preserve"> perspective, youths’ view</w:t>
      </w:r>
      <w:r w:rsidR="00864F23">
        <w:rPr>
          <w:szCs w:val="20"/>
        </w:rPr>
        <w:t>s</w:t>
      </w:r>
      <w:r w:rsidR="00A16474">
        <w:rPr>
          <w:szCs w:val="20"/>
        </w:rPr>
        <w:t xml:space="preserve"> of failure did</w:t>
      </w:r>
      <w:r>
        <w:rPr>
          <w:szCs w:val="20"/>
        </w:rPr>
        <w:t xml:space="preserve"> not change based on context or situation; thus, </w:t>
      </w:r>
      <w:r w:rsidR="00864F23">
        <w:rPr>
          <w:szCs w:val="20"/>
        </w:rPr>
        <w:t xml:space="preserve">their </w:t>
      </w:r>
      <w:r>
        <w:rPr>
          <w:szCs w:val="20"/>
        </w:rPr>
        <w:t>view</w:t>
      </w:r>
      <w:r w:rsidR="00864F23">
        <w:rPr>
          <w:szCs w:val="20"/>
        </w:rPr>
        <w:t>s</w:t>
      </w:r>
      <w:r>
        <w:rPr>
          <w:szCs w:val="20"/>
        </w:rPr>
        <w:t xml:space="preserve"> of failure </w:t>
      </w:r>
      <w:r w:rsidR="00E56AB6">
        <w:rPr>
          <w:szCs w:val="20"/>
        </w:rPr>
        <w:t>seem to</w:t>
      </w:r>
      <w:r w:rsidR="00864F23">
        <w:rPr>
          <w:szCs w:val="20"/>
        </w:rPr>
        <w:t xml:space="preserve"> </w:t>
      </w:r>
      <w:r>
        <w:rPr>
          <w:szCs w:val="20"/>
        </w:rPr>
        <w:t>transcend multiple s</w:t>
      </w:r>
      <w:r w:rsidR="004D46F4">
        <w:rPr>
          <w:szCs w:val="20"/>
        </w:rPr>
        <w:t>ettings</w:t>
      </w:r>
      <w:r>
        <w:rPr>
          <w:szCs w:val="20"/>
        </w:rPr>
        <w:t xml:space="preserve">. Table 1 </w:t>
      </w:r>
      <w:r w:rsidR="00A452C3">
        <w:rPr>
          <w:szCs w:val="20"/>
        </w:rPr>
        <w:t xml:space="preserve">and Table 2 </w:t>
      </w:r>
      <w:r>
        <w:rPr>
          <w:szCs w:val="20"/>
        </w:rPr>
        <w:t xml:space="preserve">displays youths’ perspective of failure based on </w:t>
      </w:r>
      <w:r w:rsidR="00A452C3">
        <w:rPr>
          <w:szCs w:val="20"/>
        </w:rPr>
        <w:t xml:space="preserve">the </w:t>
      </w:r>
      <w:r w:rsidR="00A16474">
        <w:rPr>
          <w:szCs w:val="20"/>
        </w:rPr>
        <w:t>making context</w:t>
      </w:r>
      <w:r w:rsidR="00A452C3">
        <w:rPr>
          <w:szCs w:val="20"/>
        </w:rPr>
        <w:t xml:space="preserve"> and the making-related activity, respectively.</w:t>
      </w:r>
      <w:r w:rsidR="000708F5">
        <w:rPr>
          <w:szCs w:val="20"/>
        </w:rPr>
        <w:t xml:space="preserve"> Descriptives are presented as number of participants and percentages.</w:t>
      </w:r>
    </w:p>
    <w:p w14:paraId="3D46D7DA" w14:textId="77777777" w:rsidR="00AA018C" w:rsidRDefault="00AA018C" w:rsidP="00F26B25">
      <w:pPr>
        <w:pStyle w:val="BodyTextFirstIndent"/>
        <w:ind w:firstLine="0"/>
        <w:rPr>
          <w:szCs w:val="20"/>
        </w:rPr>
      </w:pPr>
    </w:p>
    <w:p w14:paraId="61D39D56" w14:textId="6F782571" w:rsidR="00AA018C" w:rsidRPr="007A16A9" w:rsidRDefault="00AA018C" w:rsidP="00AA018C">
      <w:pPr>
        <w:autoSpaceDE w:val="0"/>
        <w:autoSpaceDN w:val="0"/>
        <w:adjustRightInd w:val="0"/>
        <w:rPr>
          <w:u w:val="single"/>
        </w:rPr>
      </w:pPr>
      <w:r w:rsidRPr="007A16A9">
        <w:rPr>
          <w:szCs w:val="22"/>
          <w:u w:val="single"/>
        </w:rPr>
        <w:t xml:space="preserve">Table 1: </w:t>
      </w:r>
      <w:r>
        <w:rPr>
          <w:u w:val="single"/>
        </w:rPr>
        <w:t>Youths’</w:t>
      </w:r>
      <w:r w:rsidR="00353DB3">
        <w:rPr>
          <w:u w:val="single"/>
        </w:rPr>
        <w:t xml:space="preserve"> perspective of failure by</w:t>
      </w:r>
      <w:r>
        <w:rPr>
          <w:u w:val="single"/>
        </w:rPr>
        <w:t xml:space="preserve"> making context</w:t>
      </w:r>
      <w:r w:rsidR="00A452C3">
        <w:rPr>
          <w:u w:val="single"/>
        </w:rPr>
        <w:t>.</w:t>
      </w:r>
      <w:r w:rsidRPr="007A16A9">
        <w:rPr>
          <w:u w:val="single"/>
        </w:rPr>
        <w:t xml:space="preserve"> </w:t>
      </w:r>
    </w:p>
    <w:p w14:paraId="0E47CF9A" w14:textId="6570EAF4" w:rsidR="00AA018C" w:rsidRDefault="00AA018C" w:rsidP="00AA018C">
      <w:pPr>
        <w:pStyle w:val="BodyTex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5"/>
        <w:gridCol w:w="1426"/>
        <w:gridCol w:w="1427"/>
        <w:gridCol w:w="1427"/>
        <w:gridCol w:w="1427"/>
      </w:tblGrid>
      <w:tr w:rsidR="000708F5" w:rsidRPr="00FD35A9" w14:paraId="6D9D3555" w14:textId="74489A35" w:rsidTr="00FD6B1D">
        <w:trPr>
          <w:jc w:val="center"/>
        </w:trPr>
        <w:tc>
          <w:tcPr>
            <w:tcW w:w="2015" w:type="dxa"/>
          </w:tcPr>
          <w:p w14:paraId="0A06541C" w14:textId="77777777" w:rsidR="000708F5" w:rsidRPr="00FD35A9" w:rsidRDefault="000708F5" w:rsidP="000E37B4">
            <w:pPr>
              <w:rPr>
                <w:szCs w:val="22"/>
              </w:rPr>
            </w:pPr>
          </w:p>
        </w:tc>
        <w:tc>
          <w:tcPr>
            <w:tcW w:w="1426" w:type="dxa"/>
          </w:tcPr>
          <w:p w14:paraId="2FD56155" w14:textId="72E2433F" w:rsidR="000708F5" w:rsidRPr="00FD35A9" w:rsidRDefault="000708F5" w:rsidP="000E37B4">
            <w:pPr>
              <w:rPr>
                <w:szCs w:val="22"/>
              </w:rPr>
            </w:pPr>
            <w:r>
              <w:rPr>
                <w:szCs w:val="22"/>
              </w:rPr>
              <w:t>School</w:t>
            </w:r>
          </w:p>
        </w:tc>
        <w:tc>
          <w:tcPr>
            <w:tcW w:w="1427" w:type="dxa"/>
          </w:tcPr>
          <w:p w14:paraId="2803C555" w14:textId="6D3AC41E" w:rsidR="000708F5" w:rsidRPr="00FD35A9" w:rsidRDefault="000708F5" w:rsidP="000E37B4">
            <w:pPr>
              <w:rPr>
                <w:szCs w:val="22"/>
              </w:rPr>
            </w:pPr>
            <w:r>
              <w:rPr>
                <w:szCs w:val="22"/>
              </w:rPr>
              <w:t xml:space="preserve">Summer Camp </w:t>
            </w:r>
          </w:p>
        </w:tc>
        <w:tc>
          <w:tcPr>
            <w:tcW w:w="1427" w:type="dxa"/>
          </w:tcPr>
          <w:p w14:paraId="33B62459" w14:textId="4C67BCD1" w:rsidR="000708F5" w:rsidRPr="00FD35A9" w:rsidRDefault="000708F5" w:rsidP="000E37B4">
            <w:pPr>
              <w:rPr>
                <w:szCs w:val="22"/>
              </w:rPr>
            </w:pPr>
            <w:r>
              <w:rPr>
                <w:szCs w:val="22"/>
              </w:rPr>
              <w:t>Drop-In</w:t>
            </w:r>
          </w:p>
        </w:tc>
        <w:tc>
          <w:tcPr>
            <w:tcW w:w="1427" w:type="dxa"/>
          </w:tcPr>
          <w:p w14:paraId="2050E34F" w14:textId="5A9EE872" w:rsidR="000708F5" w:rsidRDefault="000708F5" w:rsidP="000E37B4">
            <w:pPr>
              <w:rPr>
                <w:szCs w:val="22"/>
              </w:rPr>
            </w:pPr>
            <w:r>
              <w:rPr>
                <w:szCs w:val="22"/>
              </w:rPr>
              <w:t>Total</w:t>
            </w:r>
          </w:p>
        </w:tc>
      </w:tr>
      <w:tr w:rsidR="000708F5" w:rsidRPr="00FD35A9" w14:paraId="58DA6201" w14:textId="5A2D1182" w:rsidTr="00C62033">
        <w:trPr>
          <w:jc w:val="center"/>
        </w:trPr>
        <w:tc>
          <w:tcPr>
            <w:tcW w:w="2015" w:type="dxa"/>
          </w:tcPr>
          <w:p w14:paraId="4313F743" w14:textId="3ED737EC" w:rsidR="000708F5" w:rsidRPr="00FD35A9" w:rsidRDefault="000708F5" w:rsidP="000E37B4">
            <w:pPr>
              <w:rPr>
                <w:szCs w:val="22"/>
              </w:rPr>
            </w:pPr>
            <w:r>
              <w:rPr>
                <w:szCs w:val="22"/>
              </w:rPr>
              <w:t>Failure as Enhancing</w:t>
            </w:r>
          </w:p>
        </w:tc>
        <w:tc>
          <w:tcPr>
            <w:tcW w:w="1426" w:type="dxa"/>
          </w:tcPr>
          <w:p w14:paraId="7001A911" w14:textId="64DC0F8B" w:rsidR="000708F5" w:rsidRPr="00FD35A9" w:rsidRDefault="00793E15" w:rsidP="00C62033">
            <w:pPr>
              <w:rPr>
                <w:szCs w:val="22"/>
              </w:rPr>
            </w:pPr>
            <w:r>
              <w:rPr>
                <w:szCs w:val="22"/>
              </w:rPr>
              <w:t>22</w:t>
            </w:r>
            <w:r w:rsidR="000708F5">
              <w:rPr>
                <w:szCs w:val="22"/>
              </w:rPr>
              <w:t xml:space="preserve"> (</w:t>
            </w:r>
            <w:r w:rsidR="00876CC7">
              <w:rPr>
                <w:szCs w:val="22"/>
              </w:rPr>
              <w:t>16.5%)</w:t>
            </w:r>
          </w:p>
        </w:tc>
        <w:tc>
          <w:tcPr>
            <w:tcW w:w="1427" w:type="dxa"/>
          </w:tcPr>
          <w:p w14:paraId="0ABFE851" w14:textId="46B5DFEA" w:rsidR="000708F5" w:rsidRPr="00FD35A9" w:rsidRDefault="000708F5" w:rsidP="00C62033">
            <w:pPr>
              <w:rPr>
                <w:szCs w:val="22"/>
              </w:rPr>
            </w:pPr>
            <w:r>
              <w:rPr>
                <w:szCs w:val="22"/>
              </w:rPr>
              <w:t>17 (</w:t>
            </w:r>
            <w:r w:rsidR="00876CC7">
              <w:rPr>
                <w:szCs w:val="22"/>
              </w:rPr>
              <w:t>13%)</w:t>
            </w:r>
          </w:p>
        </w:tc>
        <w:tc>
          <w:tcPr>
            <w:tcW w:w="1427" w:type="dxa"/>
          </w:tcPr>
          <w:p w14:paraId="7F4017B4" w14:textId="6CAA845E" w:rsidR="000708F5" w:rsidRPr="00FD35A9" w:rsidRDefault="000708F5" w:rsidP="00C62033">
            <w:pPr>
              <w:rPr>
                <w:szCs w:val="22"/>
              </w:rPr>
            </w:pPr>
            <w:r>
              <w:rPr>
                <w:szCs w:val="22"/>
              </w:rPr>
              <w:t>13 (</w:t>
            </w:r>
            <w:r w:rsidR="00876CC7">
              <w:rPr>
                <w:szCs w:val="22"/>
              </w:rPr>
              <w:t>10%)</w:t>
            </w:r>
          </w:p>
        </w:tc>
        <w:tc>
          <w:tcPr>
            <w:tcW w:w="1427" w:type="dxa"/>
          </w:tcPr>
          <w:p w14:paraId="0E0590D4" w14:textId="3BF3A89F" w:rsidR="000708F5" w:rsidRDefault="00793E15" w:rsidP="00C62033">
            <w:pPr>
              <w:rPr>
                <w:szCs w:val="22"/>
              </w:rPr>
            </w:pPr>
            <w:r>
              <w:rPr>
                <w:szCs w:val="22"/>
              </w:rPr>
              <w:t>52</w:t>
            </w:r>
            <w:r w:rsidR="000708F5">
              <w:rPr>
                <w:szCs w:val="22"/>
              </w:rPr>
              <w:t xml:space="preserve"> (</w:t>
            </w:r>
            <w:r w:rsidR="00876CC7">
              <w:rPr>
                <w:szCs w:val="22"/>
              </w:rPr>
              <w:t>39%)</w:t>
            </w:r>
          </w:p>
        </w:tc>
      </w:tr>
      <w:tr w:rsidR="000708F5" w:rsidRPr="00FD35A9" w14:paraId="39B13C96" w14:textId="0691DE60" w:rsidTr="00C62033">
        <w:trPr>
          <w:jc w:val="center"/>
        </w:trPr>
        <w:tc>
          <w:tcPr>
            <w:tcW w:w="2015" w:type="dxa"/>
          </w:tcPr>
          <w:p w14:paraId="4CEEA5E4" w14:textId="5A869CA0" w:rsidR="000708F5" w:rsidRPr="00FD35A9" w:rsidRDefault="000708F5" w:rsidP="000E37B4">
            <w:pPr>
              <w:rPr>
                <w:szCs w:val="22"/>
              </w:rPr>
            </w:pPr>
            <w:r>
              <w:rPr>
                <w:szCs w:val="22"/>
              </w:rPr>
              <w:t>Failure as Debilitating</w:t>
            </w:r>
          </w:p>
        </w:tc>
        <w:tc>
          <w:tcPr>
            <w:tcW w:w="1426" w:type="dxa"/>
          </w:tcPr>
          <w:p w14:paraId="7A5EFA62" w14:textId="60DDA658" w:rsidR="000708F5" w:rsidRPr="00FD35A9" w:rsidRDefault="00793E15" w:rsidP="00C62033">
            <w:pPr>
              <w:rPr>
                <w:szCs w:val="22"/>
              </w:rPr>
            </w:pPr>
            <w:r>
              <w:rPr>
                <w:szCs w:val="22"/>
              </w:rPr>
              <w:t>3 (</w:t>
            </w:r>
            <w:r w:rsidR="00876CC7">
              <w:rPr>
                <w:szCs w:val="22"/>
              </w:rPr>
              <w:t>2%)</w:t>
            </w:r>
          </w:p>
        </w:tc>
        <w:tc>
          <w:tcPr>
            <w:tcW w:w="1427" w:type="dxa"/>
          </w:tcPr>
          <w:p w14:paraId="28B88AA6" w14:textId="473170F5" w:rsidR="000708F5" w:rsidRPr="00FD35A9" w:rsidRDefault="00793E15" w:rsidP="00C62033">
            <w:pPr>
              <w:rPr>
                <w:szCs w:val="22"/>
              </w:rPr>
            </w:pPr>
            <w:r>
              <w:rPr>
                <w:szCs w:val="22"/>
              </w:rPr>
              <w:t>13 (</w:t>
            </w:r>
            <w:r w:rsidR="00876CC7">
              <w:rPr>
                <w:szCs w:val="22"/>
              </w:rPr>
              <w:t>10%)</w:t>
            </w:r>
          </w:p>
        </w:tc>
        <w:tc>
          <w:tcPr>
            <w:tcW w:w="1427" w:type="dxa"/>
          </w:tcPr>
          <w:p w14:paraId="4AABBE52" w14:textId="01A9196F" w:rsidR="000708F5" w:rsidRPr="00FD35A9" w:rsidRDefault="00793E15" w:rsidP="00C62033">
            <w:pPr>
              <w:rPr>
                <w:szCs w:val="22"/>
              </w:rPr>
            </w:pPr>
            <w:r>
              <w:rPr>
                <w:szCs w:val="22"/>
              </w:rPr>
              <w:t>15 (</w:t>
            </w:r>
            <w:r w:rsidR="00876CC7">
              <w:rPr>
                <w:szCs w:val="22"/>
              </w:rPr>
              <w:t>11%)</w:t>
            </w:r>
          </w:p>
        </w:tc>
        <w:tc>
          <w:tcPr>
            <w:tcW w:w="1427" w:type="dxa"/>
          </w:tcPr>
          <w:p w14:paraId="250CB5AF" w14:textId="5F232BEB" w:rsidR="000708F5" w:rsidRPr="00FD35A9" w:rsidRDefault="00793E15" w:rsidP="00C62033">
            <w:pPr>
              <w:rPr>
                <w:szCs w:val="22"/>
              </w:rPr>
            </w:pPr>
            <w:r>
              <w:rPr>
                <w:szCs w:val="22"/>
              </w:rPr>
              <w:t>31 (</w:t>
            </w:r>
            <w:r w:rsidR="00876CC7">
              <w:rPr>
                <w:szCs w:val="22"/>
              </w:rPr>
              <w:t>23%)</w:t>
            </w:r>
          </w:p>
        </w:tc>
      </w:tr>
      <w:tr w:rsidR="000708F5" w:rsidRPr="00FD35A9" w14:paraId="0D3656F6" w14:textId="73A2C5E0" w:rsidTr="00C62033">
        <w:trPr>
          <w:jc w:val="center"/>
        </w:trPr>
        <w:tc>
          <w:tcPr>
            <w:tcW w:w="2015" w:type="dxa"/>
          </w:tcPr>
          <w:p w14:paraId="6FB94CBA" w14:textId="61964185" w:rsidR="000708F5" w:rsidRDefault="000708F5" w:rsidP="000E37B4">
            <w:pPr>
              <w:rPr>
                <w:szCs w:val="22"/>
              </w:rPr>
            </w:pPr>
            <w:r>
              <w:rPr>
                <w:szCs w:val="22"/>
              </w:rPr>
              <w:t>Failure as Mosaic</w:t>
            </w:r>
          </w:p>
        </w:tc>
        <w:tc>
          <w:tcPr>
            <w:tcW w:w="1426" w:type="dxa"/>
          </w:tcPr>
          <w:p w14:paraId="32C160A6" w14:textId="67D19099" w:rsidR="000708F5" w:rsidRPr="00FD35A9" w:rsidRDefault="00793E15" w:rsidP="00C62033">
            <w:pPr>
              <w:rPr>
                <w:szCs w:val="22"/>
              </w:rPr>
            </w:pPr>
            <w:r>
              <w:rPr>
                <w:szCs w:val="22"/>
              </w:rPr>
              <w:t>17 (</w:t>
            </w:r>
            <w:r w:rsidR="00876CC7">
              <w:rPr>
                <w:szCs w:val="22"/>
              </w:rPr>
              <w:t>13%)</w:t>
            </w:r>
          </w:p>
        </w:tc>
        <w:tc>
          <w:tcPr>
            <w:tcW w:w="1427" w:type="dxa"/>
          </w:tcPr>
          <w:p w14:paraId="3FA59B7E" w14:textId="3D7211FD" w:rsidR="000708F5" w:rsidRPr="00FD35A9" w:rsidRDefault="00793E15" w:rsidP="00C62033">
            <w:pPr>
              <w:rPr>
                <w:szCs w:val="22"/>
              </w:rPr>
            </w:pPr>
            <w:r>
              <w:rPr>
                <w:szCs w:val="22"/>
              </w:rPr>
              <w:t>15 (</w:t>
            </w:r>
            <w:r w:rsidR="00876CC7">
              <w:rPr>
                <w:szCs w:val="22"/>
              </w:rPr>
              <w:t>11%)</w:t>
            </w:r>
          </w:p>
        </w:tc>
        <w:tc>
          <w:tcPr>
            <w:tcW w:w="1427" w:type="dxa"/>
          </w:tcPr>
          <w:p w14:paraId="4F4B0CC9" w14:textId="4A21C1FB" w:rsidR="000708F5" w:rsidRPr="00FD35A9" w:rsidRDefault="00793E15" w:rsidP="00C62033">
            <w:pPr>
              <w:rPr>
                <w:szCs w:val="22"/>
              </w:rPr>
            </w:pPr>
            <w:r>
              <w:rPr>
                <w:szCs w:val="22"/>
              </w:rPr>
              <w:t>8 (</w:t>
            </w:r>
            <w:r w:rsidR="00876CC7">
              <w:rPr>
                <w:szCs w:val="22"/>
              </w:rPr>
              <w:t>6%)</w:t>
            </w:r>
          </w:p>
        </w:tc>
        <w:tc>
          <w:tcPr>
            <w:tcW w:w="1427" w:type="dxa"/>
          </w:tcPr>
          <w:p w14:paraId="468E1145" w14:textId="41C1C86D" w:rsidR="000708F5" w:rsidRPr="00FD35A9" w:rsidRDefault="00793E15" w:rsidP="00C62033">
            <w:pPr>
              <w:rPr>
                <w:szCs w:val="22"/>
              </w:rPr>
            </w:pPr>
            <w:r>
              <w:rPr>
                <w:szCs w:val="22"/>
              </w:rPr>
              <w:t>40 (</w:t>
            </w:r>
            <w:r w:rsidR="00876CC7">
              <w:rPr>
                <w:szCs w:val="22"/>
              </w:rPr>
              <w:t>30%)</w:t>
            </w:r>
          </w:p>
        </w:tc>
      </w:tr>
      <w:tr w:rsidR="000708F5" w:rsidRPr="00FD35A9" w14:paraId="66679851" w14:textId="53395750" w:rsidTr="00C62033">
        <w:trPr>
          <w:jc w:val="center"/>
        </w:trPr>
        <w:tc>
          <w:tcPr>
            <w:tcW w:w="2015" w:type="dxa"/>
          </w:tcPr>
          <w:p w14:paraId="5400C42E" w14:textId="581B1FAF" w:rsidR="000708F5" w:rsidRDefault="000708F5" w:rsidP="000E37B4">
            <w:pPr>
              <w:rPr>
                <w:szCs w:val="22"/>
              </w:rPr>
            </w:pPr>
            <w:r>
              <w:rPr>
                <w:szCs w:val="22"/>
              </w:rPr>
              <w:t>Failure as Fl</w:t>
            </w:r>
            <w:r w:rsidR="00793E15">
              <w:rPr>
                <w:szCs w:val="22"/>
              </w:rPr>
              <w:t>uid</w:t>
            </w:r>
          </w:p>
        </w:tc>
        <w:tc>
          <w:tcPr>
            <w:tcW w:w="1426" w:type="dxa"/>
          </w:tcPr>
          <w:p w14:paraId="3C73073B" w14:textId="73EB1731" w:rsidR="000708F5" w:rsidRPr="00FD35A9" w:rsidRDefault="00793E15" w:rsidP="00C62033">
            <w:pPr>
              <w:rPr>
                <w:szCs w:val="22"/>
              </w:rPr>
            </w:pPr>
            <w:r>
              <w:rPr>
                <w:szCs w:val="22"/>
              </w:rPr>
              <w:t>1 (</w:t>
            </w:r>
            <w:r w:rsidR="00876CC7">
              <w:rPr>
                <w:szCs w:val="22"/>
              </w:rPr>
              <w:t>0.8%)</w:t>
            </w:r>
          </w:p>
        </w:tc>
        <w:tc>
          <w:tcPr>
            <w:tcW w:w="1427" w:type="dxa"/>
          </w:tcPr>
          <w:p w14:paraId="23E93934" w14:textId="78F352C3" w:rsidR="000708F5" w:rsidRPr="00FD35A9" w:rsidRDefault="00793E15" w:rsidP="00C62033">
            <w:pPr>
              <w:rPr>
                <w:szCs w:val="22"/>
              </w:rPr>
            </w:pPr>
            <w:r>
              <w:rPr>
                <w:szCs w:val="22"/>
              </w:rPr>
              <w:t>1 (</w:t>
            </w:r>
            <w:r w:rsidR="00876CC7">
              <w:rPr>
                <w:szCs w:val="22"/>
              </w:rPr>
              <w:t>0.8%)</w:t>
            </w:r>
          </w:p>
        </w:tc>
        <w:tc>
          <w:tcPr>
            <w:tcW w:w="1427" w:type="dxa"/>
          </w:tcPr>
          <w:p w14:paraId="45444067" w14:textId="018F15D4" w:rsidR="000708F5" w:rsidRPr="00FD35A9" w:rsidRDefault="00793E15" w:rsidP="00C62033">
            <w:pPr>
              <w:rPr>
                <w:szCs w:val="22"/>
              </w:rPr>
            </w:pPr>
            <w:r>
              <w:rPr>
                <w:szCs w:val="22"/>
              </w:rPr>
              <w:t>8 (</w:t>
            </w:r>
            <w:r w:rsidR="00876CC7">
              <w:rPr>
                <w:szCs w:val="22"/>
              </w:rPr>
              <w:t>6%)</w:t>
            </w:r>
          </w:p>
        </w:tc>
        <w:tc>
          <w:tcPr>
            <w:tcW w:w="1427" w:type="dxa"/>
          </w:tcPr>
          <w:p w14:paraId="59D76A55" w14:textId="03658949" w:rsidR="000708F5" w:rsidRPr="00FD35A9" w:rsidRDefault="00793E15" w:rsidP="00C62033">
            <w:pPr>
              <w:rPr>
                <w:szCs w:val="22"/>
              </w:rPr>
            </w:pPr>
            <w:r>
              <w:rPr>
                <w:szCs w:val="22"/>
              </w:rPr>
              <w:t>10 (</w:t>
            </w:r>
            <w:r w:rsidR="00876CC7">
              <w:rPr>
                <w:szCs w:val="22"/>
              </w:rPr>
              <w:t>8%)</w:t>
            </w:r>
          </w:p>
        </w:tc>
      </w:tr>
    </w:tbl>
    <w:p w14:paraId="37F28E6C" w14:textId="61A0FB3D" w:rsidR="00A452C3" w:rsidRDefault="00A452C3" w:rsidP="00AA018C">
      <w:pPr>
        <w:pStyle w:val="BodyText"/>
      </w:pPr>
    </w:p>
    <w:p w14:paraId="43D983E7" w14:textId="61E89037" w:rsidR="000708F5" w:rsidRPr="007A16A9" w:rsidRDefault="000708F5" w:rsidP="000708F5">
      <w:pPr>
        <w:autoSpaceDE w:val="0"/>
        <w:autoSpaceDN w:val="0"/>
        <w:adjustRightInd w:val="0"/>
        <w:rPr>
          <w:u w:val="single"/>
        </w:rPr>
      </w:pPr>
      <w:r w:rsidRPr="007A16A9">
        <w:rPr>
          <w:szCs w:val="22"/>
          <w:u w:val="single"/>
        </w:rPr>
        <w:t xml:space="preserve">Table </w:t>
      </w:r>
      <w:r>
        <w:rPr>
          <w:szCs w:val="22"/>
          <w:u w:val="single"/>
        </w:rPr>
        <w:t>2</w:t>
      </w:r>
      <w:r w:rsidRPr="007A16A9">
        <w:rPr>
          <w:szCs w:val="22"/>
          <w:u w:val="single"/>
        </w:rPr>
        <w:t xml:space="preserve">: </w:t>
      </w:r>
      <w:r>
        <w:rPr>
          <w:u w:val="single"/>
        </w:rPr>
        <w:t>Youths’ perspective of failure by making activity.</w:t>
      </w:r>
      <w:r w:rsidRPr="007A16A9">
        <w:rPr>
          <w:u w:val="single"/>
        </w:rPr>
        <w:t xml:space="preserve"> </w:t>
      </w:r>
    </w:p>
    <w:p w14:paraId="0AA60146" w14:textId="77777777" w:rsidR="000708F5" w:rsidRDefault="000708F5" w:rsidP="000708F5">
      <w:pPr>
        <w:pStyle w:val="BodyTex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5"/>
        <w:gridCol w:w="1936"/>
        <w:gridCol w:w="2074"/>
        <w:gridCol w:w="1800"/>
      </w:tblGrid>
      <w:tr w:rsidR="000708F5" w:rsidRPr="00FD35A9" w14:paraId="0DE30B73" w14:textId="77777777" w:rsidTr="000708F5">
        <w:trPr>
          <w:jc w:val="center"/>
        </w:trPr>
        <w:tc>
          <w:tcPr>
            <w:tcW w:w="2015" w:type="dxa"/>
          </w:tcPr>
          <w:p w14:paraId="1D8B916E" w14:textId="77777777" w:rsidR="000708F5" w:rsidRPr="00FD35A9" w:rsidRDefault="000708F5" w:rsidP="000E37B4">
            <w:pPr>
              <w:rPr>
                <w:szCs w:val="22"/>
              </w:rPr>
            </w:pPr>
          </w:p>
        </w:tc>
        <w:tc>
          <w:tcPr>
            <w:tcW w:w="1936" w:type="dxa"/>
          </w:tcPr>
          <w:p w14:paraId="0E56E8E1" w14:textId="0271A2E6" w:rsidR="000708F5" w:rsidRPr="00FD35A9" w:rsidRDefault="000708F5" w:rsidP="000E37B4">
            <w:pPr>
              <w:rPr>
                <w:szCs w:val="22"/>
              </w:rPr>
            </w:pPr>
            <w:r>
              <w:rPr>
                <w:szCs w:val="22"/>
              </w:rPr>
              <w:t>Assembly</w:t>
            </w:r>
          </w:p>
        </w:tc>
        <w:tc>
          <w:tcPr>
            <w:tcW w:w="2074" w:type="dxa"/>
          </w:tcPr>
          <w:p w14:paraId="3730B0E4" w14:textId="3872797C" w:rsidR="000708F5" w:rsidRPr="00FD35A9" w:rsidRDefault="000708F5" w:rsidP="000E37B4">
            <w:pPr>
              <w:rPr>
                <w:szCs w:val="22"/>
              </w:rPr>
            </w:pPr>
            <w:r>
              <w:rPr>
                <w:szCs w:val="22"/>
              </w:rPr>
              <w:t>Creative Construction</w:t>
            </w:r>
          </w:p>
        </w:tc>
        <w:tc>
          <w:tcPr>
            <w:tcW w:w="1800" w:type="dxa"/>
          </w:tcPr>
          <w:p w14:paraId="61FEFAA9" w14:textId="2E0899D9" w:rsidR="000708F5" w:rsidRPr="00FD35A9" w:rsidRDefault="000708F5" w:rsidP="000E37B4">
            <w:pPr>
              <w:rPr>
                <w:szCs w:val="22"/>
              </w:rPr>
            </w:pPr>
            <w:r>
              <w:rPr>
                <w:szCs w:val="22"/>
              </w:rPr>
              <w:t>Tinkering</w:t>
            </w:r>
          </w:p>
        </w:tc>
      </w:tr>
      <w:tr w:rsidR="000708F5" w:rsidRPr="00FD35A9" w14:paraId="3BD6E94D" w14:textId="77777777" w:rsidTr="00C62033">
        <w:trPr>
          <w:jc w:val="center"/>
        </w:trPr>
        <w:tc>
          <w:tcPr>
            <w:tcW w:w="2015" w:type="dxa"/>
          </w:tcPr>
          <w:p w14:paraId="5A3AFD63" w14:textId="77777777" w:rsidR="000708F5" w:rsidRPr="00FD35A9" w:rsidRDefault="000708F5" w:rsidP="000E37B4">
            <w:pPr>
              <w:rPr>
                <w:szCs w:val="22"/>
              </w:rPr>
            </w:pPr>
            <w:r>
              <w:rPr>
                <w:szCs w:val="22"/>
              </w:rPr>
              <w:t>Failure as Enhancing</w:t>
            </w:r>
          </w:p>
        </w:tc>
        <w:tc>
          <w:tcPr>
            <w:tcW w:w="1936" w:type="dxa"/>
          </w:tcPr>
          <w:p w14:paraId="2417AB2A" w14:textId="6DE8F41B" w:rsidR="000708F5" w:rsidRPr="00FD35A9" w:rsidRDefault="000708F5" w:rsidP="00C62033">
            <w:pPr>
              <w:rPr>
                <w:szCs w:val="22"/>
              </w:rPr>
            </w:pPr>
            <w:r>
              <w:rPr>
                <w:szCs w:val="22"/>
              </w:rPr>
              <w:t>15 (</w:t>
            </w:r>
            <w:r w:rsidR="00876CC7">
              <w:rPr>
                <w:szCs w:val="22"/>
              </w:rPr>
              <w:t>11%)</w:t>
            </w:r>
          </w:p>
        </w:tc>
        <w:tc>
          <w:tcPr>
            <w:tcW w:w="2074" w:type="dxa"/>
          </w:tcPr>
          <w:p w14:paraId="3B0E28D3" w14:textId="6FA5A16E" w:rsidR="000708F5" w:rsidRPr="00FD35A9" w:rsidRDefault="000708F5" w:rsidP="00C62033">
            <w:pPr>
              <w:rPr>
                <w:szCs w:val="22"/>
              </w:rPr>
            </w:pPr>
            <w:r>
              <w:rPr>
                <w:szCs w:val="22"/>
              </w:rPr>
              <w:t>22 (</w:t>
            </w:r>
            <w:r w:rsidR="00876CC7">
              <w:rPr>
                <w:szCs w:val="22"/>
              </w:rPr>
              <w:t>16.5%)</w:t>
            </w:r>
          </w:p>
        </w:tc>
        <w:tc>
          <w:tcPr>
            <w:tcW w:w="1800" w:type="dxa"/>
          </w:tcPr>
          <w:p w14:paraId="2940F3D5" w14:textId="754BA5A6" w:rsidR="000708F5" w:rsidRPr="00FD35A9" w:rsidRDefault="000708F5" w:rsidP="00C62033">
            <w:pPr>
              <w:rPr>
                <w:szCs w:val="22"/>
              </w:rPr>
            </w:pPr>
            <w:r>
              <w:rPr>
                <w:szCs w:val="22"/>
              </w:rPr>
              <w:t>1</w:t>
            </w:r>
            <w:r w:rsidR="00793E15">
              <w:rPr>
                <w:szCs w:val="22"/>
              </w:rPr>
              <w:t>5</w:t>
            </w:r>
            <w:r>
              <w:rPr>
                <w:szCs w:val="22"/>
              </w:rPr>
              <w:t xml:space="preserve"> (</w:t>
            </w:r>
            <w:r w:rsidR="00876CC7">
              <w:rPr>
                <w:szCs w:val="22"/>
              </w:rPr>
              <w:t>11%)</w:t>
            </w:r>
          </w:p>
        </w:tc>
      </w:tr>
      <w:tr w:rsidR="000708F5" w:rsidRPr="00FD35A9" w14:paraId="6C559A72" w14:textId="77777777" w:rsidTr="00C62033">
        <w:trPr>
          <w:jc w:val="center"/>
        </w:trPr>
        <w:tc>
          <w:tcPr>
            <w:tcW w:w="2015" w:type="dxa"/>
          </w:tcPr>
          <w:p w14:paraId="3EC10E48" w14:textId="77777777" w:rsidR="000708F5" w:rsidRPr="00FD35A9" w:rsidRDefault="000708F5" w:rsidP="000E37B4">
            <w:pPr>
              <w:rPr>
                <w:szCs w:val="22"/>
              </w:rPr>
            </w:pPr>
            <w:r>
              <w:rPr>
                <w:szCs w:val="22"/>
              </w:rPr>
              <w:t>Failure as Debilitating</w:t>
            </w:r>
          </w:p>
        </w:tc>
        <w:tc>
          <w:tcPr>
            <w:tcW w:w="1936" w:type="dxa"/>
          </w:tcPr>
          <w:p w14:paraId="0F4DBBCC" w14:textId="4E899861" w:rsidR="000708F5" w:rsidRPr="00FD35A9" w:rsidRDefault="00793E15" w:rsidP="00C62033">
            <w:pPr>
              <w:rPr>
                <w:szCs w:val="22"/>
              </w:rPr>
            </w:pPr>
            <w:r>
              <w:rPr>
                <w:szCs w:val="22"/>
              </w:rPr>
              <w:t>11 (</w:t>
            </w:r>
            <w:r w:rsidR="00876CC7">
              <w:rPr>
                <w:szCs w:val="22"/>
              </w:rPr>
              <w:t>8%)</w:t>
            </w:r>
          </w:p>
        </w:tc>
        <w:tc>
          <w:tcPr>
            <w:tcW w:w="2074" w:type="dxa"/>
          </w:tcPr>
          <w:p w14:paraId="342A3A35" w14:textId="2408A02E" w:rsidR="000708F5" w:rsidRPr="00FD35A9" w:rsidRDefault="00793E15" w:rsidP="00C62033">
            <w:pPr>
              <w:rPr>
                <w:szCs w:val="22"/>
              </w:rPr>
            </w:pPr>
            <w:r>
              <w:rPr>
                <w:szCs w:val="22"/>
              </w:rPr>
              <w:t>14 (</w:t>
            </w:r>
            <w:r w:rsidR="00876CC7">
              <w:rPr>
                <w:szCs w:val="22"/>
              </w:rPr>
              <w:t>10.5%)</w:t>
            </w:r>
          </w:p>
        </w:tc>
        <w:tc>
          <w:tcPr>
            <w:tcW w:w="1800" w:type="dxa"/>
          </w:tcPr>
          <w:p w14:paraId="5307C677" w14:textId="610FCD85" w:rsidR="000708F5" w:rsidRPr="00FD35A9" w:rsidRDefault="00793E15" w:rsidP="00C62033">
            <w:pPr>
              <w:rPr>
                <w:szCs w:val="22"/>
              </w:rPr>
            </w:pPr>
            <w:r>
              <w:rPr>
                <w:szCs w:val="22"/>
              </w:rPr>
              <w:t>6 (</w:t>
            </w:r>
            <w:r w:rsidR="00876CC7">
              <w:rPr>
                <w:szCs w:val="22"/>
              </w:rPr>
              <w:t>4.5%)</w:t>
            </w:r>
          </w:p>
        </w:tc>
      </w:tr>
      <w:tr w:rsidR="000708F5" w:rsidRPr="00FD35A9" w14:paraId="7984C125" w14:textId="77777777" w:rsidTr="00C62033">
        <w:trPr>
          <w:jc w:val="center"/>
        </w:trPr>
        <w:tc>
          <w:tcPr>
            <w:tcW w:w="2015" w:type="dxa"/>
          </w:tcPr>
          <w:p w14:paraId="2B12F1BD" w14:textId="77777777" w:rsidR="000708F5" w:rsidRDefault="000708F5" w:rsidP="000E37B4">
            <w:pPr>
              <w:rPr>
                <w:szCs w:val="22"/>
              </w:rPr>
            </w:pPr>
            <w:r>
              <w:rPr>
                <w:szCs w:val="22"/>
              </w:rPr>
              <w:t>Failure as Mosaic</w:t>
            </w:r>
          </w:p>
        </w:tc>
        <w:tc>
          <w:tcPr>
            <w:tcW w:w="1936" w:type="dxa"/>
          </w:tcPr>
          <w:p w14:paraId="10D0AFE9" w14:textId="469FE33E" w:rsidR="000708F5" w:rsidRPr="00FD35A9" w:rsidRDefault="00793E15" w:rsidP="00C62033">
            <w:pPr>
              <w:rPr>
                <w:szCs w:val="22"/>
              </w:rPr>
            </w:pPr>
            <w:r>
              <w:rPr>
                <w:szCs w:val="22"/>
              </w:rPr>
              <w:t>11 (</w:t>
            </w:r>
            <w:r w:rsidR="00876CC7">
              <w:rPr>
                <w:szCs w:val="22"/>
              </w:rPr>
              <w:t>8%)</w:t>
            </w:r>
          </w:p>
        </w:tc>
        <w:tc>
          <w:tcPr>
            <w:tcW w:w="2074" w:type="dxa"/>
          </w:tcPr>
          <w:p w14:paraId="30F945BA" w14:textId="61497B11" w:rsidR="000708F5" w:rsidRPr="00FD35A9" w:rsidRDefault="00793E15" w:rsidP="00C62033">
            <w:pPr>
              <w:rPr>
                <w:szCs w:val="22"/>
              </w:rPr>
            </w:pPr>
            <w:r>
              <w:rPr>
                <w:szCs w:val="22"/>
              </w:rPr>
              <w:t>23 (</w:t>
            </w:r>
            <w:r w:rsidR="00876CC7">
              <w:rPr>
                <w:szCs w:val="22"/>
              </w:rPr>
              <w:t>17%)</w:t>
            </w:r>
          </w:p>
        </w:tc>
        <w:tc>
          <w:tcPr>
            <w:tcW w:w="1800" w:type="dxa"/>
          </w:tcPr>
          <w:p w14:paraId="65F4C05E" w14:textId="6B0CD647" w:rsidR="000708F5" w:rsidRPr="00FD35A9" w:rsidRDefault="00793E15" w:rsidP="00C62033">
            <w:pPr>
              <w:rPr>
                <w:szCs w:val="22"/>
              </w:rPr>
            </w:pPr>
            <w:r>
              <w:rPr>
                <w:szCs w:val="22"/>
              </w:rPr>
              <w:t>6 (</w:t>
            </w:r>
            <w:r w:rsidR="00876CC7">
              <w:rPr>
                <w:szCs w:val="22"/>
              </w:rPr>
              <w:t>4.5%)</w:t>
            </w:r>
          </w:p>
        </w:tc>
      </w:tr>
      <w:tr w:rsidR="000708F5" w:rsidRPr="00FD35A9" w14:paraId="5E7341E5" w14:textId="77777777" w:rsidTr="000708F5">
        <w:trPr>
          <w:jc w:val="center"/>
        </w:trPr>
        <w:tc>
          <w:tcPr>
            <w:tcW w:w="2015" w:type="dxa"/>
          </w:tcPr>
          <w:p w14:paraId="74F290F7" w14:textId="77777777" w:rsidR="000708F5" w:rsidRDefault="000708F5" w:rsidP="000E37B4">
            <w:pPr>
              <w:rPr>
                <w:szCs w:val="22"/>
              </w:rPr>
            </w:pPr>
            <w:r>
              <w:rPr>
                <w:szCs w:val="22"/>
              </w:rPr>
              <w:t>Failure as Fluid</w:t>
            </w:r>
          </w:p>
        </w:tc>
        <w:tc>
          <w:tcPr>
            <w:tcW w:w="1936" w:type="dxa"/>
            <w:vAlign w:val="center"/>
          </w:tcPr>
          <w:p w14:paraId="18B03C8F" w14:textId="33AA56A1" w:rsidR="000708F5" w:rsidRPr="00FD35A9" w:rsidRDefault="00793E15" w:rsidP="004D46F4">
            <w:pPr>
              <w:rPr>
                <w:szCs w:val="22"/>
              </w:rPr>
            </w:pPr>
            <w:r>
              <w:rPr>
                <w:szCs w:val="22"/>
              </w:rPr>
              <w:t>0 (</w:t>
            </w:r>
            <w:r w:rsidR="00876CC7">
              <w:rPr>
                <w:szCs w:val="22"/>
              </w:rPr>
              <w:t>0%)</w:t>
            </w:r>
          </w:p>
        </w:tc>
        <w:tc>
          <w:tcPr>
            <w:tcW w:w="2074" w:type="dxa"/>
            <w:vAlign w:val="center"/>
          </w:tcPr>
          <w:p w14:paraId="3C0FF1EC" w14:textId="6F15B387" w:rsidR="000708F5" w:rsidRPr="00FD35A9" w:rsidRDefault="00793E15" w:rsidP="004D46F4">
            <w:pPr>
              <w:rPr>
                <w:szCs w:val="22"/>
              </w:rPr>
            </w:pPr>
            <w:r>
              <w:rPr>
                <w:szCs w:val="22"/>
              </w:rPr>
              <w:t>2 (</w:t>
            </w:r>
            <w:r w:rsidR="00876CC7">
              <w:rPr>
                <w:szCs w:val="22"/>
              </w:rPr>
              <w:t>1.5%)</w:t>
            </w:r>
          </w:p>
        </w:tc>
        <w:tc>
          <w:tcPr>
            <w:tcW w:w="1800" w:type="dxa"/>
            <w:vAlign w:val="center"/>
          </w:tcPr>
          <w:p w14:paraId="4AC0B882" w14:textId="42844769" w:rsidR="000708F5" w:rsidRPr="00FD35A9" w:rsidRDefault="00793E15" w:rsidP="004D46F4">
            <w:pPr>
              <w:rPr>
                <w:szCs w:val="22"/>
              </w:rPr>
            </w:pPr>
            <w:r>
              <w:rPr>
                <w:szCs w:val="22"/>
              </w:rPr>
              <w:t>8 (</w:t>
            </w:r>
            <w:r w:rsidR="00876CC7">
              <w:rPr>
                <w:szCs w:val="22"/>
              </w:rPr>
              <w:t>6%)</w:t>
            </w:r>
          </w:p>
        </w:tc>
      </w:tr>
    </w:tbl>
    <w:p w14:paraId="3F3C1398" w14:textId="77777777" w:rsidR="00AA018C" w:rsidRDefault="00AA018C" w:rsidP="00F26B25">
      <w:pPr>
        <w:pStyle w:val="BodyTextFirstIndent"/>
        <w:ind w:firstLine="0"/>
        <w:rPr>
          <w:szCs w:val="20"/>
        </w:rPr>
      </w:pPr>
    </w:p>
    <w:p w14:paraId="7EC8970A" w14:textId="772B1255" w:rsidR="00130E7C" w:rsidRDefault="00AB0497" w:rsidP="00F26B25">
      <w:pPr>
        <w:pStyle w:val="BodyTextFirstIndent"/>
        <w:ind w:firstLine="0"/>
        <w:rPr>
          <w:szCs w:val="20"/>
        </w:rPr>
      </w:pPr>
      <w:r>
        <w:rPr>
          <w:szCs w:val="20"/>
        </w:rPr>
        <w:tab/>
      </w:r>
      <w:r w:rsidRPr="00E83805">
        <w:rPr>
          <w:i/>
          <w:szCs w:val="20"/>
        </w:rPr>
        <w:t xml:space="preserve">Failure as </w:t>
      </w:r>
      <w:r w:rsidR="00E56AB6" w:rsidRPr="00E83805">
        <w:rPr>
          <w:i/>
          <w:szCs w:val="20"/>
        </w:rPr>
        <w:t>E</w:t>
      </w:r>
      <w:r w:rsidRPr="00E83805">
        <w:rPr>
          <w:i/>
          <w:szCs w:val="20"/>
        </w:rPr>
        <w:t>nhancing</w:t>
      </w:r>
      <w:r>
        <w:rPr>
          <w:szCs w:val="20"/>
        </w:rPr>
        <w:t xml:space="preserve"> is exemplified by youths’ view of failure as a means to make improv</w:t>
      </w:r>
      <w:r w:rsidR="006702AE">
        <w:rPr>
          <w:szCs w:val="20"/>
        </w:rPr>
        <w:t>ements either in th</w:t>
      </w:r>
      <w:r w:rsidR="00353DB3">
        <w:rPr>
          <w:szCs w:val="20"/>
        </w:rPr>
        <w:t>e process of making</w:t>
      </w:r>
      <w:r w:rsidR="00E56AB6">
        <w:rPr>
          <w:szCs w:val="20"/>
        </w:rPr>
        <w:t>,</w:t>
      </w:r>
      <w:r w:rsidR="006702AE">
        <w:rPr>
          <w:szCs w:val="20"/>
        </w:rPr>
        <w:t xml:space="preserve"> or in not ma</w:t>
      </w:r>
      <w:r w:rsidR="00E56AB6">
        <w:rPr>
          <w:szCs w:val="20"/>
        </w:rPr>
        <w:t>nufactur</w:t>
      </w:r>
      <w:r w:rsidR="006702AE">
        <w:rPr>
          <w:szCs w:val="20"/>
        </w:rPr>
        <w:t xml:space="preserve">ing the same “mistake” </w:t>
      </w:r>
      <w:r w:rsidR="00353DB3">
        <w:rPr>
          <w:szCs w:val="20"/>
        </w:rPr>
        <w:t xml:space="preserve">the </w:t>
      </w:r>
      <w:r w:rsidR="006702AE">
        <w:rPr>
          <w:szCs w:val="20"/>
        </w:rPr>
        <w:t>next time</w:t>
      </w:r>
      <w:r w:rsidR="00353DB3">
        <w:rPr>
          <w:szCs w:val="20"/>
        </w:rPr>
        <w:t xml:space="preserve"> whether in school, in making, </w:t>
      </w:r>
      <w:r w:rsidR="00E56AB6">
        <w:rPr>
          <w:szCs w:val="20"/>
        </w:rPr>
        <w:t xml:space="preserve">in cooking </w:t>
      </w:r>
      <w:r w:rsidR="00353DB3">
        <w:rPr>
          <w:szCs w:val="20"/>
        </w:rPr>
        <w:t>or in sporting events</w:t>
      </w:r>
      <w:r w:rsidR="006702AE">
        <w:rPr>
          <w:szCs w:val="20"/>
        </w:rPr>
        <w:t xml:space="preserve">. </w:t>
      </w:r>
      <w:r w:rsidR="00E56AB6">
        <w:rPr>
          <w:szCs w:val="20"/>
        </w:rPr>
        <w:t>In other words, failure is viewed as an opportunity to learn</w:t>
      </w:r>
      <w:r w:rsidR="006C1C95">
        <w:rPr>
          <w:szCs w:val="20"/>
        </w:rPr>
        <w:t xml:space="preserve"> regardless of conte</w:t>
      </w:r>
      <w:r w:rsidR="00733EA3">
        <w:rPr>
          <w:szCs w:val="20"/>
        </w:rPr>
        <w:t>x</w:t>
      </w:r>
      <w:r w:rsidR="006C1C95">
        <w:rPr>
          <w:szCs w:val="20"/>
        </w:rPr>
        <w:t xml:space="preserve">t. </w:t>
      </w:r>
      <w:r w:rsidR="006702AE">
        <w:rPr>
          <w:szCs w:val="20"/>
        </w:rPr>
        <w:t>For example</w:t>
      </w:r>
      <w:r w:rsidR="00E83805">
        <w:rPr>
          <w:szCs w:val="20"/>
        </w:rPr>
        <w:t xml:space="preserve">, a youth in the </w:t>
      </w:r>
      <w:r w:rsidR="00733EA3">
        <w:rPr>
          <w:szCs w:val="20"/>
        </w:rPr>
        <w:t>academic</w:t>
      </w:r>
      <w:r w:rsidR="00E83805">
        <w:rPr>
          <w:szCs w:val="20"/>
        </w:rPr>
        <w:t xml:space="preserve"> setting stated</w:t>
      </w:r>
      <w:r w:rsidR="006702AE">
        <w:rPr>
          <w:szCs w:val="20"/>
        </w:rPr>
        <w:t>,</w:t>
      </w:r>
      <w:r w:rsidR="00A63395" w:rsidRPr="00A63395">
        <w:rPr>
          <w:szCs w:val="20"/>
        </w:rPr>
        <w:t xml:space="preserve"> </w:t>
      </w:r>
      <w:r w:rsidR="006702AE">
        <w:rPr>
          <w:szCs w:val="20"/>
        </w:rPr>
        <w:t>“</w:t>
      </w:r>
      <w:r w:rsidR="006C1C95" w:rsidRPr="006C1C95">
        <w:rPr>
          <w:szCs w:val="20"/>
        </w:rPr>
        <w:t xml:space="preserve">Setbacks and failure can both teach you. </w:t>
      </w:r>
      <w:r w:rsidR="00A63395">
        <w:rPr>
          <w:szCs w:val="20"/>
        </w:rPr>
        <w:t>W</w:t>
      </w:r>
      <w:r w:rsidR="006C1C95" w:rsidRPr="006C1C95">
        <w:rPr>
          <w:szCs w:val="20"/>
        </w:rPr>
        <w:t>hilst I was working with this I tried out several tools and several tools failed so I have more of an understanding of what they do and how to accomplish what I want.</w:t>
      </w:r>
      <w:r w:rsidR="006702AE">
        <w:rPr>
          <w:szCs w:val="20"/>
        </w:rPr>
        <w:t xml:space="preserve">” </w:t>
      </w:r>
      <w:r w:rsidR="00A63395">
        <w:rPr>
          <w:szCs w:val="20"/>
        </w:rPr>
        <w:t>This was discussed</w:t>
      </w:r>
      <w:r w:rsidR="00E83805">
        <w:rPr>
          <w:szCs w:val="20"/>
        </w:rPr>
        <w:t xml:space="preserve"> </w:t>
      </w:r>
      <w:r w:rsidR="00A63395">
        <w:rPr>
          <w:szCs w:val="20"/>
        </w:rPr>
        <w:t xml:space="preserve">within a three-dimensional </w:t>
      </w:r>
      <w:r w:rsidR="00A63395" w:rsidRPr="00A63395">
        <w:rPr>
          <w:szCs w:val="20"/>
        </w:rPr>
        <w:t xml:space="preserve">design of a fictional starship from </w:t>
      </w:r>
      <w:r w:rsidR="00A63395">
        <w:rPr>
          <w:szCs w:val="20"/>
        </w:rPr>
        <w:t xml:space="preserve">a popular television </w:t>
      </w:r>
      <w:r w:rsidR="00A63395" w:rsidRPr="00A63395">
        <w:rPr>
          <w:szCs w:val="20"/>
        </w:rPr>
        <w:t>show</w:t>
      </w:r>
      <w:r w:rsidR="00A63395">
        <w:rPr>
          <w:szCs w:val="20"/>
        </w:rPr>
        <w:t xml:space="preserve">, as well as within mathematics. </w:t>
      </w:r>
      <w:r w:rsidR="0022102A">
        <w:rPr>
          <w:szCs w:val="20"/>
        </w:rPr>
        <w:t>F</w:t>
      </w:r>
      <w:r w:rsidR="00EC319E">
        <w:rPr>
          <w:szCs w:val="20"/>
        </w:rPr>
        <w:t>ifty</w:t>
      </w:r>
      <w:r w:rsidR="0022102A">
        <w:rPr>
          <w:szCs w:val="20"/>
        </w:rPr>
        <w:t>-two</w:t>
      </w:r>
      <w:r w:rsidR="00353DB3">
        <w:rPr>
          <w:szCs w:val="20"/>
        </w:rPr>
        <w:t xml:space="preserve"> of the 1</w:t>
      </w:r>
      <w:r w:rsidR="00EC319E">
        <w:rPr>
          <w:szCs w:val="20"/>
        </w:rPr>
        <w:t>33</w:t>
      </w:r>
      <w:r w:rsidR="00353DB3">
        <w:rPr>
          <w:szCs w:val="20"/>
        </w:rPr>
        <w:t xml:space="preserve"> youth</w:t>
      </w:r>
      <w:r w:rsidR="006702AE">
        <w:rPr>
          <w:szCs w:val="20"/>
        </w:rPr>
        <w:t xml:space="preserve"> </w:t>
      </w:r>
      <w:r w:rsidR="00353DB3">
        <w:rPr>
          <w:szCs w:val="20"/>
        </w:rPr>
        <w:t>(3</w:t>
      </w:r>
      <w:r w:rsidR="00EC319E">
        <w:rPr>
          <w:szCs w:val="20"/>
        </w:rPr>
        <w:t>9%</w:t>
      </w:r>
      <w:r w:rsidR="00353DB3">
        <w:rPr>
          <w:szCs w:val="20"/>
        </w:rPr>
        <w:t>)</w:t>
      </w:r>
      <w:r w:rsidR="006702AE">
        <w:rPr>
          <w:szCs w:val="20"/>
        </w:rPr>
        <w:t xml:space="preserve"> in this study </w:t>
      </w:r>
      <w:r w:rsidR="00353DB3">
        <w:rPr>
          <w:szCs w:val="20"/>
        </w:rPr>
        <w:t>exhibited this perspective</w:t>
      </w:r>
      <w:r w:rsidR="00EC319E">
        <w:rPr>
          <w:szCs w:val="20"/>
        </w:rPr>
        <w:t>.</w:t>
      </w:r>
    </w:p>
    <w:p w14:paraId="70575F41" w14:textId="3010273E" w:rsidR="00CF6370" w:rsidRDefault="00A63395" w:rsidP="00F26B25">
      <w:pPr>
        <w:pStyle w:val="BodyTextFirstIndent"/>
        <w:ind w:firstLine="0"/>
        <w:rPr>
          <w:szCs w:val="20"/>
        </w:rPr>
      </w:pPr>
      <w:r>
        <w:rPr>
          <w:szCs w:val="20"/>
        </w:rPr>
        <w:tab/>
      </w:r>
      <w:r w:rsidRPr="0004358C">
        <w:rPr>
          <w:i/>
          <w:szCs w:val="20"/>
        </w:rPr>
        <w:t>Failure as Debilitating</w:t>
      </w:r>
      <w:r>
        <w:rPr>
          <w:szCs w:val="20"/>
        </w:rPr>
        <w:t xml:space="preserve"> is </w:t>
      </w:r>
      <w:r w:rsidR="00EC319E">
        <w:rPr>
          <w:szCs w:val="20"/>
        </w:rPr>
        <w:t xml:space="preserve">similar to a fixed mindset; framed here as </w:t>
      </w:r>
      <w:r>
        <w:rPr>
          <w:szCs w:val="20"/>
        </w:rPr>
        <w:t>a negative view of failure personally (e.g., low confidence) and in limiting one’s progress toward the end product or expect</w:t>
      </w:r>
      <w:r w:rsidR="003940CA">
        <w:rPr>
          <w:szCs w:val="20"/>
        </w:rPr>
        <w:t>ed outcome</w:t>
      </w:r>
      <w:r>
        <w:rPr>
          <w:szCs w:val="20"/>
        </w:rPr>
        <w:t xml:space="preserve">. </w:t>
      </w:r>
      <w:r w:rsidR="00CF6370">
        <w:rPr>
          <w:szCs w:val="20"/>
        </w:rPr>
        <w:t>Youth are not concerned with learning from failure, but focused on completion and correctness</w:t>
      </w:r>
      <w:r>
        <w:rPr>
          <w:szCs w:val="20"/>
        </w:rPr>
        <w:t xml:space="preserve">. </w:t>
      </w:r>
      <w:r w:rsidR="00CF6370">
        <w:rPr>
          <w:szCs w:val="20"/>
        </w:rPr>
        <w:t>For instance, failure implies hopelessness in the following quote.</w:t>
      </w:r>
    </w:p>
    <w:p w14:paraId="62EE2DEF" w14:textId="77777777" w:rsidR="0022102A" w:rsidRPr="001764B6" w:rsidRDefault="0022102A" w:rsidP="0022102A">
      <w:pPr>
        <w:pStyle w:val="BodyText"/>
        <w:rPr>
          <w:szCs w:val="20"/>
        </w:rPr>
      </w:pPr>
    </w:p>
    <w:p w14:paraId="66650443" w14:textId="2D627DE1" w:rsidR="0022102A" w:rsidRDefault="0022102A" w:rsidP="0022102A">
      <w:pPr>
        <w:pStyle w:val="BodyTextFirstIndent"/>
        <w:ind w:left="720" w:firstLine="0"/>
        <w:rPr>
          <w:szCs w:val="20"/>
        </w:rPr>
      </w:pPr>
      <w:r w:rsidRPr="00CF6370">
        <w:rPr>
          <w:szCs w:val="20"/>
        </w:rPr>
        <w:t>When some</w:t>
      </w:r>
      <w:r w:rsidR="00AB4177">
        <w:rPr>
          <w:szCs w:val="20"/>
        </w:rPr>
        <w:t>thing breaks or something doesn’t go correctly, and you can’</w:t>
      </w:r>
      <w:r w:rsidRPr="00CF6370">
        <w:rPr>
          <w:szCs w:val="20"/>
        </w:rPr>
        <w:t>t do anything about it.</w:t>
      </w:r>
      <w:r>
        <w:rPr>
          <w:szCs w:val="20"/>
        </w:rPr>
        <w:t xml:space="preserve"> Like if you lost something and</w:t>
      </w:r>
      <w:r w:rsidR="00AB4177">
        <w:rPr>
          <w:szCs w:val="20"/>
        </w:rPr>
        <w:t xml:space="preserve"> you can’</w:t>
      </w:r>
      <w:r w:rsidRPr="00CF6370">
        <w:rPr>
          <w:szCs w:val="20"/>
        </w:rPr>
        <w:t>t re</w:t>
      </w:r>
      <w:r>
        <w:rPr>
          <w:szCs w:val="20"/>
        </w:rPr>
        <w:t>-</w:t>
      </w:r>
      <w:r w:rsidRPr="00CF6370">
        <w:rPr>
          <w:szCs w:val="20"/>
        </w:rPr>
        <w:t>find it.</w:t>
      </w:r>
      <w:r>
        <w:rPr>
          <w:szCs w:val="20"/>
        </w:rPr>
        <w:t xml:space="preserve"> . . . </w:t>
      </w:r>
      <w:r w:rsidRPr="00CF6370">
        <w:rPr>
          <w:szCs w:val="20"/>
        </w:rPr>
        <w:t xml:space="preserve">When you get </w:t>
      </w:r>
      <w:r w:rsidR="00AB4177">
        <w:rPr>
          <w:szCs w:val="20"/>
        </w:rPr>
        <w:t>an assignment wrong and you can’</w:t>
      </w:r>
      <w:r w:rsidRPr="00CF6370">
        <w:rPr>
          <w:szCs w:val="20"/>
        </w:rPr>
        <w:t>t redo it or if you take a test and you miss the whole thing, you can't redo the test.</w:t>
      </w:r>
    </w:p>
    <w:p w14:paraId="4C616165" w14:textId="77777777" w:rsidR="00CF6370" w:rsidRDefault="00CF6370" w:rsidP="00F26B25">
      <w:pPr>
        <w:pStyle w:val="BodyTextFirstIndent"/>
        <w:ind w:firstLine="0"/>
        <w:rPr>
          <w:szCs w:val="20"/>
        </w:rPr>
      </w:pPr>
    </w:p>
    <w:p w14:paraId="4EE23E7A" w14:textId="34C5F286" w:rsidR="00A63395" w:rsidRDefault="00A63395" w:rsidP="00F26B25">
      <w:pPr>
        <w:pStyle w:val="BodyTextFirstIndent"/>
        <w:ind w:firstLine="0"/>
        <w:rPr>
          <w:szCs w:val="20"/>
        </w:rPr>
      </w:pPr>
      <w:r>
        <w:rPr>
          <w:szCs w:val="20"/>
        </w:rPr>
        <w:t xml:space="preserve">As </w:t>
      </w:r>
      <w:r w:rsidR="0022102A">
        <w:rPr>
          <w:szCs w:val="20"/>
        </w:rPr>
        <w:t xml:space="preserve">with </w:t>
      </w:r>
      <w:r w:rsidR="0022102A" w:rsidRPr="0004358C">
        <w:rPr>
          <w:i/>
          <w:szCs w:val="20"/>
        </w:rPr>
        <w:t>Failure as Enhancing</w:t>
      </w:r>
      <w:r>
        <w:rPr>
          <w:szCs w:val="20"/>
        </w:rPr>
        <w:t>, this perspectiv</w:t>
      </w:r>
      <w:r w:rsidR="0022102A">
        <w:rPr>
          <w:szCs w:val="20"/>
        </w:rPr>
        <w:t>e transcends multiple contexts and was expressed by 3</w:t>
      </w:r>
      <w:r w:rsidR="00E65114">
        <w:rPr>
          <w:szCs w:val="20"/>
        </w:rPr>
        <w:t>1</w:t>
      </w:r>
      <w:r w:rsidR="0022102A">
        <w:rPr>
          <w:szCs w:val="20"/>
        </w:rPr>
        <w:t xml:space="preserve"> of the 1</w:t>
      </w:r>
      <w:r w:rsidR="00E65114">
        <w:rPr>
          <w:szCs w:val="20"/>
        </w:rPr>
        <w:t>33</w:t>
      </w:r>
      <w:r w:rsidR="0022102A">
        <w:rPr>
          <w:szCs w:val="20"/>
        </w:rPr>
        <w:t xml:space="preserve"> youth (2</w:t>
      </w:r>
      <w:r w:rsidR="00E65114">
        <w:rPr>
          <w:szCs w:val="20"/>
        </w:rPr>
        <w:t>3%</w:t>
      </w:r>
      <w:r w:rsidR="0022102A">
        <w:rPr>
          <w:szCs w:val="20"/>
        </w:rPr>
        <w:t xml:space="preserve">) in this study. </w:t>
      </w:r>
    </w:p>
    <w:p w14:paraId="53D857BC" w14:textId="724AF603" w:rsidR="006B775C" w:rsidRDefault="0022102A" w:rsidP="006B775C">
      <w:pPr>
        <w:pStyle w:val="BodyTextFirstIndent"/>
        <w:ind w:firstLine="0"/>
        <w:rPr>
          <w:szCs w:val="20"/>
        </w:rPr>
      </w:pPr>
      <w:r>
        <w:rPr>
          <w:szCs w:val="20"/>
        </w:rPr>
        <w:tab/>
      </w:r>
      <w:r w:rsidRPr="0004358C">
        <w:rPr>
          <w:i/>
          <w:szCs w:val="20"/>
        </w:rPr>
        <w:t>Failure as Mosaic</w:t>
      </w:r>
      <w:r>
        <w:rPr>
          <w:szCs w:val="20"/>
        </w:rPr>
        <w:t xml:space="preserve"> </w:t>
      </w:r>
      <w:r w:rsidR="004F4EC1">
        <w:rPr>
          <w:szCs w:val="20"/>
        </w:rPr>
        <w:t xml:space="preserve">does not transcend sites as youths’ perspective of failure changes based on context. In this study, views within making context were typically </w:t>
      </w:r>
      <w:r w:rsidR="004F4EC1" w:rsidRPr="0004358C">
        <w:rPr>
          <w:i/>
          <w:szCs w:val="20"/>
        </w:rPr>
        <w:t>Failure as Enhancing</w:t>
      </w:r>
      <w:r w:rsidR="004F4EC1">
        <w:rPr>
          <w:szCs w:val="20"/>
        </w:rPr>
        <w:t xml:space="preserve">, while views in other contexts, </w:t>
      </w:r>
      <w:r w:rsidR="00733EA3">
        <w:rPr>
          <w:szCs w:val="20"/>
        </w:rPr>
        <w:t>academic contexts</w:t>
      </w:r>
      <w:r w:rsidR="004F4EC1">
        <w:rPr>
          <w:szCs w:val="20"/>
        </w:rPr>
        <w:t xml:space="preserve"> for example, were typically </w:t>
      </w:r>
      <w:r w:rsidR="004F4EC1" w:rsidRPr="0004358C">
        <w:rPr>
          <w:i/>
          <w:szCs w:val="20"/>
        </w:rPr>
        <w:t>Failure as Debilitating</w:t>
      </w:r>
      <w:r w:rsidR="004F4EC1">
        <w:rPr>
          <w:szCs w:val="20"/>
        </w:rPr>
        <w:t xml:space="preserve">. </w:t>
      </w:r>
      <w:r w:rsidR="0028049E">
        <w:rPr>
          <w:szCs w:val="20"/>
        </w:rPr>
        <w:t>For example</w:t>
      </w:r>
      <w:r w:rsidR="004F4EC1">
        <w:rPr>
          <w:szCs w:val="20"/>
        </w:rPr>
        <w:t xml:space="preserve">, one youth </w:t>
      </w:r>
      <w:r w:rsidR="0028049E">
        <w:rPr>
          <w:szCs w:val="20"/>
        </w:rPr>
        <w:t xml:space="preserve">noted how the camp setting </w:t>
      </w:r>
      <w:r w:rsidR="004F4EC1">
        <w:rPr>
          <w:szCs w:val="20"/>
        </w:rPr>
        <w:t>was less serious and expressed having</w:t>
      </w:r>
      <w:r w:rsidR="004F4EC1" w:rsidRPr="004F4EC1">
        <w:rPr>
          <w:szCs w:val="20"/>
        </w:rPr>
        <w:t xml:space="preserve"> the ability to try new things, whereas </w:t>
      </w:r>
      <w:r w:rsidR="004F4EC1">
        <w:rPr>
          <w:szCs w:val="20"/>
        </w:rPr>
        <w:t>failure in a school setting</w:t>
      </w:r>
      <w:r w:rsidR="0028049E">
        <w:rPr>
          <w:szCs w:val="20"/>
        </w:rPr>
        <w:t xml:space="preserve"> was more serious and may lead to one stating, “I’m going to fail. I’m not going to make it.” Moreover, </w:t>
      </w:r>
      <w:r w:rsidR="006B775C">
        <w:rPr>
          <w:szCs w:val="20"/>
        </w:rPr>
        <w:t>this perspective of failure</w:t>
      </w:r>
      <w:r w:rsidR="0028049E">
        <w:rPr>
          <w:szCs w:val="20"/>
        </w:rPr>
        <w:t xml:space="preserve"> varied by classroom contexts</w:t>
      </w:r>
      <w:r w:rsidR="00733EA3">
        <w:rPr>
          <w:szCs w:val="20"/>
        </w:rPr>
        <w:t>, school subjects, and/or academic tasks</w:t>
      </w:r>
      <w:r w:rsidR="0028049E">
        <w:rPr>
          <w:szCs w:val="20"/>
        </w:rPr>
        <w:t xml:space="preserve">. </w:t>
      </w:r>
      <w:r w:rsidR="00747CD2">
        <w:rPr>
          <w:szCs w:val="20"/>
        </w:rPr>
        <w:t>The following quote captures this idea</w:t>
      </w:r>
      <w:r w:rsidR="00636373">
        <w:rPr>
          <w:szCs w:val="20"/>
        </w:rPr>
        <w:t>. “</w:t>
      </w:r>
      <w:r w:rsidR="00D70E65">
        <w:rPr>
          <w:szCs w:val="20"/>
        </w:rPr>
        <w:t>There’</w:t>
      </w:r>
      <w:r w:rsidR="0028049E" w:rsidRPr="0028049E">
        <w:rPr>
          <w:szCs w:val="20"/>
        </w:rPr>
        <w:t>s a difference between my core classes a</w:t>
      </w:r>
      <w:r w:rsidR="0028049E">
        <w:rPr>
          <w:szCs w:val="20"/>
        </w:rPr>
        <w:t>n</w:t>
      </w:r>
      <w:r w:rsidR="0028049E" w:rsidRPr="0028049E">
        <w:rPr>
          <w:szCs w:val="20"/>
        </w:rPr>
        <w:t>d this class because, in this class</w:t>
      </w:r>
      <w:r w:rsidR="0028049E">
        <w:rPr>
          <w:szCs w:val="20"/>
        </w:rPr>
        <w:t xml:space="preserve"> [Creative Design]</w:t>
      </w:r>
      <w:r w:rsidR="0028049E" w:rsidRPr="0028049E">
        <w:rPr>
          <w:szCs w:val="20"/>
        </w:rPr>
        <w:t>, if you fail you can re-do it. And, in other classes, you can</w:t>
      </w:r>
      <w:r w:rsidR="00636373">
        <w:rPr>
          <w:szCs w:val="20"/>
        </w:rPr>
        <w:t xml:space="preserve">'t retake tests multiple times.” </w:t>
      </w:r>
      <w:r w:rsidR="006B775C">
        <w:rPr>
          <w:szCs w:val="20"/>
        </w:rPr>
        <w:t xml:space="preserve">In this study, </w:t>
      </w:r>
      <w:r w:rsidR="00E65114">
        <w:rPr>
          <w:szCs w:val="20"/>
        </w:rPr>
        <w:t>40</w:t>
      </w:r>
      <w:r w:rsidR="006B775C">
        <w:rPr>
          <w:szCs w:val="20"/>
        </w:rPr>
        <w:t xml:space="preserve"> of the 1</w:t>
      </w:r>
      <w:r w:rsidR="00E65114">
        <w:rPr>
          <w:szCs w:val="20"/>
        </w:rPr>
        <w:t>33</w:t>
      </w:r>
      <w:r w:rsidR="006B775C">
        <w:rPr>
          <w:szCs w:val="20"/>
        </w:rPr>
        <w:t xml:space="preserve"> youth (</w:t>
      </w:r>
      <w:r w:rsidR="00E65114">
        <w:rPr>
          <w:szCs w:val="20"/>
        </w:rPr>
        <w:t>30%</w:t>
      </w:r>
      <w:r w:rsidR="006B775C">
        <w:rPr>
          <w:szCs w:val="20"/>
        </w:rPr>
        <w:t>) did not view failure the same across multiple sites or boundary crossings</w:t>
      </w:r>
      <w:r w:rsidR="00E65114">
        <w:rPr>
          <w:szCs w:val="20"/>
        </w:rPr>
        <w:t>.</w:t>
      </w:r>
    </w:p>
    <w:p w14:paraId="2DAAB0B9" w14:textId="6922A782" w:rsidR="0022102A" w:rsidRDefault="0022102A" w:rsidP="00F26B25">
      <w:pPr>
        <w:pStyle w:val="BodyTextFirstIndent"/>
        <w:ind w:firstLine="0"/>
        <w:rPr>
          <w:szCs w:val="20"/>
        </w:rPr>
      </w:pPr>
      <w:r>
        <w:rPr>
          <w:szCs w:val="20"/>
        </w:rPr>
        <w:tab/>
      </w:r>
      <w:r w:rsidRPr="0004358C">
        <w:rPr>
          <w:i/>
          <w:szCs w:val="20"/>
        </w:rPr>
        <w:t>Failure as Fluid</w:t>
      </w:r>
      <w:r>
        <w:rPr>
          <w:szCs w:val="20"/>
        </w:rPr>
        <w:t xml:space="preserve"> </w:t>
      </w:r>
      <w:r w:rsidR="006B775C">
        <w:rPr>
          <w:szCs w:val="20"/>
        </w:rPr>
        <w:t>was less often expressed by youth in this study (</w:t>
      </w:r>
      <w:r w:rsidR="006B775C">
        <w:rPr>
          <w:i/>
          <w:szCs w:val="20"/>
        </w:rPr>
        <w:t xml:space="preserve">n </w:t>
      </w:r>
      <w:r w:rsidR="006B775C">
        <w:rPr>
          <w:szCs w:val="20"/>
        </w:rPr>
        <w:t xml:space="preserve">= </w:t>
      </w:r>
      <w:r w:rsidR="00E65114">
        <w:rPr>
          <w:szCs w:val="20"/>
        </w:rPr>
        <w:t>10</w:t>
      </w:r>
      <w:r w:rsidR="006B775C">
        <w:rPr>
          <w:szCs w:val="20"/>
        </w:rPr>
        <w:t xml:space="preserve">, 8%). </w:t>
      </w:r>
      <w:r w:rsidR="00747CD2">
        <w:rPr>
          <w:szCs w:val="20"/>
        </w:rPr>
        <w:t xml:space="preserve">One </w:t>
      </w:r>
      <w:r w:rsidR="00EB3689">
        <w:rPr>
          <w:szCs w:val="20"/>
        </w:rPr>
        <w:t xml:space="preserve">youth </w:t>
      </w:r>
      <w:r w:rsidR="00E65114">
        <w:rPr>
          <w:szCs w:val="20"/>
        </w:rPr>
        <w:t>building any structure or object using small rubber bands and small wooden dowels commented, that after his structure fell apart, “</w:t>
      </w:r>
      <w:r w:rsidR="00E65114" w:rsidRPr="00E65114">
        <w:rPr>
          <w:szCs w:val="20"/>
        </w:rPr>
        <w:t>I don't really know what I did, I just started putting sticks together.</w:t>
      </w:r>
      <w:r w:rsidR="00E65114">
        <w:rPr>
          <w:szCs w:val="20"/>
        </w:rPr>
        <w:t xml:space="preserve"> I just put more</w:t>
      </w:r>
      <w:r w:rsidR="00560A43">
        <w:rPr>
          <w:szCs w:val="20"/>
        </w:rPr>
        <w:t xml:space="preserve"> rubber bands on it.” Upon further probing, the youth was unable to articulate how he decided to make changes. </w:t>
      </w:r>
      <w:r w:rsidR="00EB3689">
        <w:rPr>
          <w:szCs w:val="20"/>
        </w:rPr>
        <w:t xml:space="preserve">As exemplified in this quote, </w:t>
      </w:r>
      <w:r w:rsidR="00437B3E">
        <w:rPr>
          <w:szCs w:val="20"/>
        </w:rPr>
        <w:t xml:space="preserve">failure is not positioned as a learning opportunity (i.e., </w:t>
      </w:r>
      <w:r w:rsidR="00437B3E" w:rsidRPr="0004358C">
        <w:rPr>
          <w:i/>
          <w:szCs w:val="20"/>
        </w:rPr>
        <w:t>Failure as Enhancing</w:t>
      </w:r>
      <w:r w:rsidR="00437B3E">
        <w:rPr>
          <w:szCs w:val="20"/>
        </w:rPr>
        <w:t xml:space="preserve">) nor as being detrimental (i.e., </w:t>
      </w:r>
      <w:r w:rsidR="00437B3E" w:rsidRPr="0004358C">
        <w:rPr>
          <w:i/>
          <w:szCs w:val="20"/>
        </w:rPr>
        <w:t>Failure as Debilitating</w:t>
      </w:r>
      <w:r w:rsidR="00437B3E">
        <w:rPr>
          <w:szCs w:val="20"/>
        </w:rPr>
        <w:t xml:space="preserve">), but </w:t>
      </w:r>
      <w:r w:rsidR="00437B3E" w:rsidRPr="00437B3E">
        <w:rPr>
          <w:szCs w:val="20"/>
        </w:rPr>
        <w:t>as some thing or abstract boundary object that just occurs and tends to work itself out for better or for wors</w:t>
      </w:r>
      <w:r w:rsidR="00747CD2">
        <w:rPr>
          <w:szCs w:val="20"/>
        </w:rPr>
        <w:t>e</w:t>
      </w:r>
      <w:r w:rsidR="00437B3E" w:rsidRPr="00437B3E">
        <w:rPr>
          <w:szCs w:val="20"/>
        </w:rPr>
        <w:t>.</w:t>
      </w:r>
      <w:r w:rsidR="00437B3E">
        <w:rPr>
          <w:szCs w:val="20"/>
        </w:rPr>
        <w:t xml:space="preserve"> </w:t>
      </w:r>
    </w:p>
    <w:p w14:paraId="6F763E52" w14:textId="55A4F04E" w:rsidR="00D636F7" w:rsidRPr="006B775C" w:rsidRDefault="00D636F7" w:rsidP="00F26B25">
      <w:pPr>
        <w:pStyle w:val="BodyTextFirstIndent"/>
        <w:ind w:firstLine="0"/>
        <w:rPr>
          <w:szCs w:val="20"/>
        </w:rPr>
      </w:pPr>
      <w:r>
        <w:rPr>
          <w:szCs w:val="20"/>
        </w:rPr>
        <w:tab/>
        <w:t xml:space="preserve">Lastly, </w:t>
      </w:r>
      <w:r w:rsidR="00E86ED7">
        <w:rPr>
          <w:szCs w:val="20"/>
        </w:rPr>
        <w:t>i</w:t>
      </w:r>
      <w:r w:rsidR="00E86ED7" w:rsidRPr="00E86ED7">
        <w:rPr>
          <w:szCs w:val="20"/>
        </w:rPr>
        <w:t>n conducting Kruskal-Wallis tests, a significant difference was</w:t>
      </w:r>
      <w:r w:rsidR="00E86ED7">
        <w:rPr>
          <w:szCs w:val="20"/>
        </w:rPr>
        <w:t xml:space="preserve"> </w:t>
      </w:r>
      <w:r w:rsidR="00E86ED7" w:rsidRPr="00E86ED7">
        <w:rPr>
          <w:szCs w:val="20"/>
        </w:rPr>
        <w:t xml:space="preserve">found for how </w:t>
      </w:r>
      <w:r w:rsidR="00E86ED7">
        <w:rPr>
          <w:szCs w:val="20"/>
        </w:rPr>
        <w:t xml:space="preserve">youth viewed and experienced failure in different learning environments based on the making </w:t>
      </w:r>
      <w:r w:rsidR="00722333">
        <w:rPr>
          <w:szCs w:val="20"/>
        </w:rPr>
        <w:t xml:space="preserve">activity </w:t>
      </w:r>
      <w:r w:rsidR="00722333" w:rsidRPr="00E86ED7">
        <w:rPr>
          <w:szCs w:val="20"/>
        </w:rPr>
        <w:t>(χ</w:t>
      </w:r>
      <w:r w:rsidR="00722333" w:rsidRPr="00E86ED7">
        <w:rPr>
          <w:szCs w:val="20"/>
          <w:vertAlign w:val="superscript"/>
        </w:rPr>
        <w:t>2</w:t>
      </w:r>
      <w:r w:rsidR="00722333" w:rsidRPr="00E86ED7">
        <w:rPr>
          <w:szCs w:val="20"/>
        </w:rPr>
        <w:t xml:space="preserve">(3, </w:t>
      </w:r>
      <w:r w:rsidR="00722333">
        <w:rPr>
          <w:szCs w:val="20"/>
        </w:rPr>
        <w:t>133</w:t>
      </w:r>
      <w:r w:rsidR="00722333" w:rsidRPr="00E86ED7">
        <w:rPr>
          <w:szCs w:val="20"/>
        </w:rPr>
        <w:t xml:space="preserve">) = </w:t>
      </w:r>
      <w:r w:rsidR="00722333">
        <w:rPr>
          <w:szCs w:val="20"/>
        </w:rPr>
        <w:t>14.205</w:t>
      </w:r>
      <w:r w:rsidR="00722333" w:rsidRPr="00E86ED7">
        <w:rPr>
          <w:szCs w:val="20"/>
        </w:rPr>
        <w:t xml:space="preserve">, </w:t>
      </w:r>
      <w:r w:rsidR="00722333" w:rsidRPr="00E86ED7">
        <w:rPr>
          <w:i/>
          <w:szCs w:val="20"/>
        </w:rPr>
        <w:t>p</w:t>
      </w:r>
      <w:r w:rsidR="00722333" w:rsidRPr="00E86ED7">
        <w:rPr>
          <w:szCs w:val="20"/>
        </w:rPr>
        <w:t xml:space="preserve"> = .</w:t>
      </w:r>
      <w:r w:rsidR="00722333">
        <w:rPr>
          <w:szCs w:val="20"/>
        </w:rPr>
        <w:t>003</w:t>
      </w:r>
      <w:r w:rsidR="00722333" w:rsidRPr="00E86ED7">
        <w:rPr>
          <w:szCs w:val="20"/>
        </w:rPr>
        <w:t>)</w:t>
      </w:r>
      <w:r w:rsidR="00722333">
        <w:rPr>
          <w:szCs w:val="20"/>
        </w:rPr>
        <w:t xml:space="preserve">, but not the making </w:t>
      </w:r>
      <w:r w:rsidR="00E86ED7">
        <w:rPr>
          <w:szCs w:val="20"/>
        </w:rPr>
        <w:t>context</w:t>
      </w:r>
      <w:r w:rsidR="00E86ED7" w:rsidRPr="00E86ED7">
        <w:rPr>
          <w:szCs w:val="20"/>
        </w:rPr>
        <w:t xml:space="preserve"> (χ</w:t>
      </w:r>
      <w:r w:rsidR="00E86ED7" w:rsidRPr="00E86ED7">
        <w:rPr>
          <w:szCs w:val="20"/>
          <w:vertAlign w:val="superscript"/>
        </w:rPr>
        <w:t>2</w:t>
      </w:r>
      <w:r w:rsidR="00E86ED7" w:rsidRPr="00E86ED7">
        <w:rPr>
          <w:szCs w:val="20"/>
        </w:rPr>
        <w:t>(</w:t>
      </w:r>
      <w:r w:rsidR="00E86ED7">
        <w:rPr>
          <w:szCs w:val="20"/>
        </w:rPr>
        <w:t>3</w:t>
      </w:r>
      <w:r w:rsidR="00E86ED7" w:rsidRPr="00E86ED7">
        <w:rPr>
          <w:szCs w:val="20"/>
        </w:rPr>
        <w:t xml:space="preserve">, </w:t>
      </w:r>
      <w:r w:rsidR="00E86ED7">
        <w:rPr>
          <w:szCs w:val="20"/>
        </w:rPr>
        <w:t>13</w:t>
      </w:r>
      <w:r w:rsidR="00E86ED7" w:rsidRPr="00E86ED7">
        <w:rPr>
          <w:szCs w:val="20"/>
        </w:rPr>
        <w:t xml:space="preserve">3) = </w:t>
      </w:r>
      <w:r w:rsidR="00722333">
        <w:rPr>
          <w:szCs w:val="20"/>
        </w:rPr>
        <w:t>5.438</w:t>
      </w:r>
      <w:r w:rsidR="00E86ED7" w:rsidRPr="00E86ED7">
        <w:rPr>
          <w:szCs w:val="20"/>
        </w:rPr>
        <w:t xml:space="preserve">, </w:t>
      </w:r>
      <w:r w:rsidR="00E86ED7" w:rsidRPr="00E86ED7">
        <w:rPr>
          <w:i/>
          <w:szCs w:val="20"/>
        </w:rPr>
        <w:t>p</w:t>
      </w:r>
      <w:r w:rsidR="00E86ED7" w:rsidRPr="00E86ED7">
        <w:rPr>
          <w:szCs w:val="20"/>
        </w:rPr>
        <w:t xml:space="preserve"> = </w:t>
      </w:r>
      <w:r w:rsidR="00722333">
        <w:rPr>
          <w:szCs w:val="20"/>
        </w:rPr>
        <w:t>.142</w:t>
      </w:r>
      <w:r w:rsidR="00E86ED7" w:rsidRPr="00E86ED7">
        <w:rPr>
          <w:szCs w:val="20"/>
        </w:rPr>
        <w:t>)</w:t>
      </w:r>
      <w:r w:rsidR="00E86ED7">
        <w:rPr>
          <w:szCs w:val="20"/>
        </w:rPr>
        <w:t>.</w:t>
      </w:r>
      <w:r w:rsidR="00722333">
        <w:rPr>
          <w:szCs w:val="20"/>
        </w:rPr>
        <w:t xml:space="preserve"> The follow-up analysis revealed </w:t>
      </w:r>
      <w:r w:rsidR="00687A23">
        <w:rPr>
          <w:szCs w:val="20"/>
        </w:rPr>
        <w:t xml:space="preserve">that </w:t>
      </w:r>
      <w:r w:rsidR="00004163">
        <w:rPr>
          <w:szCs w:val="20"/>
        </w:rPr>
        <w:t xml:space="preserve">youth with a </w:t>
      </w:r>
      <w:r w:rsidR="00D70E65" w:rsidRPr="0004358C">
        <w:rPr>
          <w:i/>
          <w:szCs w:val="20"/>
        </w:rPr>
        <w:t>Failure as Enhancing</w:t>
      </w:r>
      <w:r w:rsidR="00D70E65">
        <w:rPr>
          <w:szCs w:val="20"/>
        </w:rPr>
        <w:t xml:space="preserve"> </w:t>
      </w:r>
      <w:r w:rsidR="00004163">
        <w:rPr>
          <w:szCs w:val="20"/>
        </w:rPr>
        <w:t>perspective (</w:t>
      </w:r>
      <w:r w:rsidR="00004163">
        <w:rPr>
          <w:i/>
          <w:szCs w:val="20"/>
        </w:rPr>
        <w:t xml:space="preserve">p = </w:t>
      </w:r>
      <w:r w:rsidR="00004163">
        <w:rPr>
          <w:szCs w:val="20"/>
        </w:rPr>
        <w:t xml:space="preserve">.002), </w:t>
      </w:r>
      <w:r w:rsidR="00D70E65" w:rsidRPr="0004358C">
        <w:rPr>
          <w:i/>
          <w:szCs w:val="20"/>
        </w:rPr>
        <w:t>Failure as Debilitating</w:t>
      </w:r>
      <w:r w:rsidR="00D70E65">
        <w:rPr>
          <w:szCs w:val="20"/>
        </w:rPr>
        <w:t xml:space="preserve"> </w:t>
      </w:r>
      <w:r w:rsidR="00004163">
        <w:rPr>
          <w:szCs w:val="20"/>
        </w:rPr>
        <w:t xml:space="preserve">perspective </w:t>
      </w:r>
      <w:r w:rsidR="00004163">
        <w:rPr>
          <w:i/>
          <w:szCs w:val="20"/>
        </w:rPr>
        <w:t xml:space="preserve">(p </w:t>
      </w:r>
      <w:r w:rsidR="00004163">
        <w:rPr>
          <w:szCs w:val="20"/>
        </w:rPr>
        <w:t xml:space="preserve">= .001), and </w:t>
      </w:r>
      <w:r w:rsidR="00D70E65" w:rsidRPr="0004358C">
        <w:rPr>
          <w:i/>
          <w:szCs w:val="20"/>
        </w:rPr>
        <w:t>Failure as Mosaic</w:t>
      </w:r>
      <w:r w:rsidR="00D70E65">
        <w:rPr>
          <w:szCs w:val="20"/>
        </w:rPr>
        <w:t xml:space="preserve"> </w:t>
      </w:r>
      <w:r w:rsidR="00004163">
        <w:rPr>
          <w:szCs w:val="20"/>
        </w:rPr>
        <w:t>perspective (</w:t>
      </w:r>
      <w:r w:rsidR="00004163">
        <w:rPr>
          <w:i/>
          <w:szCs w:val="20"/>
        </w:rPr>
        <w:t xml:space="preserve">p </w:t>
      </w:r>
      <w:r w:rsidR="00004163">
        <w:rPr>
          <w:szCs w:val="20"/>
        </w:rPr>
        <w:t xml:space="preserve">= .0001) differed significantly from youth with a </w:t>
      </w:r>
      <w:r w:rsidR="00D70E65" w:rsidRPr="0004358C">
        <w:rPr>
          <w:i/>
          <w:szCs w:val="20"/>
        </w:rPr>
        <w:t>Failure as Fluid</w:t>
      </w:r>
      <w:r w:rsidR="00004163">
        <w:rPr>
          <w:szCs w:val="20"/>
        </w:rPr>
        <w:t xml:space="preserve"> perspective.</w:t>
      </w:r>
      <w:r w:rsidR="00FF3C82">
        <w:rPr>
          <w:szCs w:val="20"/>
        </w:rPr>
        <w:t xml:space="preserve"> </w:t>
      </w:r>
    </w:p>
    <w:p w14:paraId="084A727E" w14:textId="77777777" w:rsidR="00F26B25" w:rsidRDefault="00C00EFD" w:rsidP="00F26B25">
      <w:pPr>
        <w:pStyle w:val="Heading1"/>
      </w:pPr>
      <w:r>
        <w:t>Significance &amp; Implications</w:t>
      </w:r>
    </w:p>
    <w:p w14:paraId="2B16F19D" w14:textId="62FF7106" w:rsidR="00A03A42" w:rsidRDefault="00437B3E" w:rsidP="00F26B25">
      <w:pPr>
        <w:pStyle w:val="BodyTextFirstIndent"/>
        <w:ind w:firstLine="0"/>
        <w:rPr>
          <w:szCs w:val="20"/>
        </w:rPr>
      </w:pPr>
      <w:r>
        <w:rPr>
          <w:szCs w:val="20"/>
        </w:rPr>
        <w:t>More often than not (</w:t>
      </w:r>
      <w:r>
        <w:rPr>
          <w:szCs w:val="20"/>
        </w:rPr>
        <w:t xml:space="preserve">approximately </w:t>
      </w:r>
      <w:r w:rsidR="00920FEA">
        <w:rPr>
          <w:szCs w:val="20"/>
        </w:rPr>
        <w:t>70</w:t>
      </w:r>
      <w:r>
        <w:rPr>
          <w:szCs w:val="20"/>
        </w:rPr>
        <w:t>%), youths</w:t>
      </w:r>
      <w:r w:rsidR="00DC5C30">
        <w:rPr>
          <w:szCs w:val="20"/>
        </w:rPr>
        <w:t>’</w:t>
      </w:r>
      <w:r>
        <w:rPr>
          <w:szCs w:val="20"/>
        </w:rPr>
        <w:t xml:space="preserve"> view</w:t>
      </w:r>
      <w:r w:rsidR="00DC5C30">
        <w:rPr>
          <w:szCs w:val="20"/>
        </w:rPr>
        <w:t>s</w:t>
      </w:r>
      <w:r>
        <w:rPr>
          <w:szCs w:val="20"/>
        </w:rPr>
        <w:t xml:space="preserve"> of failure in this study transcend across boundaries or </w:t>
      </w:r>
      <w:r w:rsidR="00DC5C30">
        <w:rPr>
          <w:szCs w:val="20"/>
        </w:rPr>
        <w:t>contexts</w:t>
      </w:r>
      <w:r w:rsidR="00E32B6B">
        <w:rPr>
          <w:szCs w:val="20"/>
        </w:rPr>
        <w:t>, as well as making activities</w:t>
      </w:r>
      <w:r>
        <w:rPr>
          <w:szCs w:val="20"/>
        </w:rPr>
        <w:t xml:space="preserve">. These views were framed as </w:t>
      </w:r>
      <w:r w:rsidR="00920FEA">
        <w:rPr>
          <w:szCs w:val="20"/>
        </w:rPr>
        <w:t>opportunities for growth</w:t>
      </w:r>
      <w:r>
        <w:rPr>
          <w:szCs w:val="20"/>
        </w:rPr>
        <w:t xml:space="preserve"> (i.e., </w:t>
      </w:r>
      <w:r w:rsidRPr="00E83805">
        <w:rPr>
          <w:i/>
          <w:szCs w:val="20"/>
        </w:rPr>
        <w:t>Failure as Enhancing</w:t>
      </w:r>
      <w:r>
        <w:rPr>
          <w:szCs w:val="20"/>
        </w:rPr>
        <w:t xml:space="preserve">) </w:t>
      </w:r>
      <w:r w:rsidR="00920FEA">
        <w:rPr>
          <w:szCs w:val="20"/>
        </w:rPr>
        <w:t>more</w:t>
      </w:r>
      <w:r w:rsidR="000D2A86">
        <w:rPr>
          <w:szCs w:val="20"/>
        </w:rPr>
        <w:t xml:space="preserve"> often </w:t>
      </w:r>
      <w:r w:rsidR="00920FEA">
        <w:rPr>
          <w:szCs w:val="20"/>
        </w:rPr>
        <w:t>than views framed as limiting one’s progress</w:t>
      </w:r>
      <w:r w:rsidR="00E5144C">
        <w:rPr>
          <w:szCs w:val="20"/>
        </w:rPr>
        <w:t xml:space="preserve"> (i.e., </w:t>
      </w:r>
      <w:r w:rsidR="00E5144C" w:rsidRPr="00E83805">
        <w:rPr>
          <w:i/>
          <w:szCs w:val="20"/>
        </w:rPr>
        <w:t>Failure as Debilita</w:t>
      </w:r>
      <w:r w:rsidRPr="00E83805">
        <w:rPr>
          <w:i/>
          <w:szCs w:val="20"/>
        </w:rPr>
        <w:t>ting</w:t>
      </w:r>
      <w:r>
        <w:rPr>
          <w:szCs w:val="20"/>
        </w:rPr>
        <w:t xml:space="preserve">), </w:t>
      </w:r>
      <w:r w:rsidR="00E5144C">
        <w:rPr>
          <w:szCs w:val="20"/>
        </w:rPr>
        <w:t>3</w:t>
      </w:r>
      <w:r w:rsidR="00920FEA">
        <w:rPr>
          <w:szCs w:val="20"/>
        </w:rPr>
        <w:t>9</w:t>
      </w:r>
      <w:r w:rsidR="00E5144C">
        <w:rPr>
          <w:szCs w:val="20"/>
        </w:rPr>
        <w:t xml:space="preserve">% and </w:t>
      </w:r>
      <w:r w:rsidR="00920FEA">
        <w:rPr>
          <w:szCs w:val="20"/>
        </w:rPr>
        <w:t>2</w:t>
      </w:r>
      <w:r w:rsidR="00E5144C">
        <w:rPr>
          <w:szCs w:val="20"/>
        </w:rPr>
        <w:t xml:space="preserve">3%, respectively. This finding seems to </w:t>
      </w:r>
      <w:r w:rsidR="00C96463">
        <w:rPr>
          <w:szCs w:val="20"/>
        </w:rPr>
        <w:t xml:space="preserve">both confirm and </w:t>
      </w:r>
      <w:r w:rsidR="00E5144C">
        <w:rPr>
          <w:szCs w:val="20"/>
        </w:rPr>
        <w:t xml:space="preserve">contradict research that situates failure as </w:t>
      </w:r>
      <w:r w:rsidR="00F539D6">
        <w:rPr>
          <w:szCs w:val="20"/>
        </w:rPr>
        <w:t xml:space="preserve">only </w:t>
      </w:r>
      <w:r w:rsidR="00E5144C">
        <w:rPr>
          <w:szCs w:val="20"/>
        </w:rPr>
        <w:t>a negative experie</w:t>
      </w:r>
      <w:r w:rsidR="00F539D6">
        <w:rPr>
          <w:szCs w:val="20"/>
        </w:rPr>
        <w:t>nce</w:t>
      </w:r>
      <w:r w:rsidR="00CF35AA">
        <w:rPr>
          <w:szCs w:val="20"/>
        </w:rPr>
        <w:t xml:space="preserve"> </w:t>
      </w:r>
      <w:r w:rsidR="00F539D6">
        <w:rPr>
          <w:szCs w:val="20"/>
        </w:rPr>
        <w:t>(e.g., Guler, 2013). It seems that youths’ view</w:t>
      </w:r>
      <w:r w:rsidR="000D2A86">
        <w:rPr>
          <w:szCs w:val="20"/>
        </w:rPr>
        <w:t>s</w:t>
      </w:r>
      <w:r w:rsidR="00F539D6">
        <w:rPr>
          <w:szCs w:val="20"/>
        </w:rPr>
        <w:t xml:space="preserve"> of failure </w:t>
      </w:r>
      <w:r w:rsidR="000D2A86">
        <w:rPr>
          <w:szCs w:val="20"/>
        </w:rPr>
        <w:t>are</w:t>
      </w:r>
      <w:r w:rsidR="00E5144C">
        <w:rPr>
          <w:szCs w:val="20"/>
        </w:rPr>
        <w:t xml:space="preserve"> on par with professionals across </w:t>
      </w:r>
      <w:r w:rsidR="00CF35AA">
        <w:rPr>
          <w:szCs w:val="20"/>
        </w:rPr>
        <w:t>STEM</w:t>
      </w:r>
      <w:r w:rsidR="00E5144C">
        <w:rPr>
          <w:szCs w:val="20"/>
        </w:rPr>
        <w:t xml:space="preserve"> fields (</w:t>
      </w:r>
      <w:r w:rsidR="00C96463">
        <w:rPr>
          <w:szCs w:val="20"/>
        </w:rPr>
        <w:t>Simpson &amp; Maltese</w:t>
      </w:r>
      <w:r w:rsidR="00E5144C">
        <w:rPr>
          <w:szCs w:val="20"/>
        </w:rPr>
        <w:t xml:space="preserve">, 2017). </w:t>
      </w:r>
      <w:r w:rsidR="00A03A42">
        <w:rPr>
          <w:szCs w:val="20"/>
        </w:rPr>
        <w:t>Additionally, youth</w:t>
      </w:r>
      <w:r w:rsidR="00F539D6">
        <w:rPr>
          <w:szCs w:val="20"/>
        </w:rPr>
        <w:t xml:space="preserve"> continu</w:t>
      </w:r>
      <w:r w:rsidR="0027010D">
        <w:rPr>
          <w:szCs w:val="20"/>
        </w:rPr>
        <w:t>ing</w:t>
      </w:r>
      <w:r w:rsidR="00F539D6">
        <w:rPr>
          <w:szCs w:val="20"/>
        </w:rPr>
        <w:t xml:space="preserve"> to view failure as a negative experience regardless of context, particularly in a making setting where there is a focus on rapid prototyping and </w:t>
      </w:r>
      <w:r w:rsidR="00EE22C5">
        <w:rPr>
          <w:szCs w:val="20"/>
        </w:rPr>
        <w:t>celebrating</w:t>
      </w:r>
      <w:r w:rsidR="00F539D6">
        <w:rPr>
          <w:szCs w:val="20"/>
        </w:rPr>
        <w:t xml:space="preserve"> failure as part of the process of creative design </w:t>
      </w:r>
      <w:r w:rsidR="00F539D6" w:rsidRPr="00EE22C5">
        <w:rPr>
          <w:szCs w:val="20"/>
        </w:rPr>
        <w:t xml:space="preserve">(e.g., </w:t>
      </w:r>
      <w:r w:rsidR="00EE22C5" w:rsidRPr="00EE22C5">
        <w:rPr>
          <w:szCs w:val="20"/>
        </w:rPr>
        <w:t>Martin, 2015</w:t>
      </w:r>
      <w:r w:rsidR="00F539D6" w:rsidRPr="00EE22C5">
        <w:rPr>
          <w:szCs w:val="20"/>
        </w:rPr>
        <w:t>)</w:t>
      </w:r>
      <w:r w:rsidR="00A03A42">
        <w:rPr>
          <w:szCs w:val="20"/>
        </w:rPr>
        <w:t>, is of concern as it diminishes the opportunity to learn across boundaries</w:t>
      </w:r>
      <w:r w:rsidR="00F539D6" w:rsidRPr="00EE22C5">
        <w:rPr>
          <w:szCs w:val="20"/>
        </w:rPr>
        <w:t>.</w:t>
      </w:r>
    </w:p>
    <w:p w14:paraId="2A3FE376" w14:textId="50B2841A" w:rsidR="00F26B25" w:rsidRDefault="00E5144C" w:rsidP="00A03A42">
      <w:pPr>
        <w:pStyle w:val="BodyTextFirstIndent"/>
        <w:rPr>
          <w:szCs w:val="20"/>
        </w:rPr>
      </w:pPr>
      <w:r>
        <w:rPr>
          <w:szCs w:val="20"/>
        </w:rPr>
        <w:lastRenderedPageBreak/>
        <w:t xml:space="preserve">Furthermore, </w:t>
      </w:r>
      <w:r w:rsidR="00E32B6B">
        <w:rPr>
          <w:szCs w:val="20"/>
        </w:rPr>
        <w:t>about 30</w:t>
      </w:r>
      <w:r w:rsidR="00F539D6">
        <w:rPr>
          <w:szCs w:val="20"/>
        </w:rPr>
        <w:t>% of youths’ view</w:t>
      </w:r>
      <w:r w:rsidR="00CF3FDD">
        <w:rPr>
          <w:szCs w:val="20"/>
        </w:rPr>
        <w:t>s</w:t>
      </w:r>
      <w:r w:rsidR="00F539D6">
        <w:rPr>
          <w:szCs w:val="20"/>
        </w:rPr>
        <w:t xml:space="preserve"> of failure in this study did not transcend across boundaries, but changed based on </w:t>
      </w:r>
      <w:r w:rsidR="00F539D6">
        <w:rPr>
          <w:szCs w:val="20"/>
        </w:rPr>
        <w:t>context</w:t>
      </w:r>
      <w:r w:rsidR="00C96463">
        <w:rPr>
          <w:szCs w:val="20"/>
        </w:rPr>
        <w:t xml:space="preserve"> and making activity</w:t>
      </w:r>
      <w:r w:rsidR="00F539D6">
        <w:rPr>
          <w:szCs w:val="20"/>
        </w:rPr>
        <w:t xml:space="preserve">. </w:t>
      </w:r>
      <w:r w:rsidR="00A03A42">
        <w:rPr>
          <w:szCs w:val="20"/>
        </w:rPr>
        <w:t xml:space="preserve">Youth </w:t>
      </w:r>
      <w:r w:rsidR="00A03A42">
        <w:rPr>
          <w:szCs w:val="20"/>
        </w:rPr>
        <w:t xml:space="preserve">who expressed </w:t>
      </w:r>
      <w:r w:rsidR="00A03A42" w:rsidRPr="00E83805">
        <w:rPr>
          <w:i/>
          <w:szCs w:val="20"/>
        </w:rPr>
        <w:t>Failure as Mosaic</w:t>
      </w:r>
      <w:r w:rsidR="00A03A42">
        <w:rPr>
          <w:szCs w:val="20"/>
        </w:rPr>
        <w:t xml:space="preserve"> most often exhibited </w:t>
      </w:r>
      <w:r w:rsidR="00A03A42" w:rsidRPr="00E83805">
        <w:rPr>
          <w:i/>
          <w:szCs w:val="20"/>
        </w:rPr>
        <w:t>Failure as Enhancing</w:t>
      </w:r>
      <w:r w:rsidR="00A03A42">
        <w:rPr>
          <w:szCs w:val="20"/>
        </w:rPr>
        <w:t xml:space="preserve"> during making-related activities, implying the potential power of making in shifting one’s view of failure across multiple sites, which in turn </w:t>
      </w:r>
      <w:r w:rsidR="00A03A42">
        <w:t xml:space="preserve">may invoke learning opportunities for youth (Akkerman &amp; Bakker, 2011). </w:t>
      </w:r>
      <w:r w:rsidR="00F539D6">
        <w:rPr>
          <w:szCs w:val="20"/>
        </w:rPr>
        <w:t xml:space="preserve">This may indicate a transition to viewing failure as a learning opportunity regardless of contexts; hence, transitioning to a view of failure that transcends boundaries. </w:t>
      </w:r>
      <w:r w:rsidR="00A03A42">
        <w:rPr>
          <w:szCs w:val="20"/>
        </w:rPr>
        <w:t xml:space="preserve">Likewise, youth here expressed </w:t>
      </w:r>
      <w:r w:rsidR="00A03A42">
        <w:rPr>
          <w:i/>
          <w:szCs w:val="20"/>
        </w:rPr>
        <w:t xml:space="preserve">Failure as Debilitating </w:t>
      </w:r>
      <w:r w:rsidR="00A03A42">
        <w:rPr>
          <w:szCs w:val="20"/>
        </w:rPr>
        <w:t xml:space="preserve">during school contexts, and even sporting events, as youth were typically not afforded an opportunity to re-do mistakes and/or failures. </w:t>
      </w:r>
      <w:r w:rsidR="0086469A">
        <w:rPr>
          <w:szCs w:val="20"/>
        </w:rPr>
        <w:t>Therefore, a change in the learning context and/or task could potentially shift these youths’ views of failure within an academic setting from negative experiences to positive experiences.</w:t>
      </w:r>
    </w:p>
    <w:p w14:paraId="7005EE05" w14:textId="77777777" w:rsidR="00165406" w:rsidRDefault="00F26B25" w:rsidP="00165406">
      <w:pPr>
        <w:pStyle w:val="Heading1"/>
      </w:pPr>
      <w:r>
        <w:t>References</w:t>
      </w:r>
    </w:p>
    <w:p w14:paraId="08822D2B" w14:textId="64EFD4D0" w:rsidR="00000771" w:rsidRDefault="00BC4A31" w:rsidP="00E32B6B">
      <w:pPr>
        <w:pStyle w:val="References"/>
      </w:pPr>
      <w:r w:rsidRPr="00BC4A31">
        <w:t>Akkerman, S. F., &amp; Bakker, A. (2011). Boundary</w:t>
      </w:r>
      <w:r>
        <w:t xml:space="preserve"> crossing and boundary objects. </w:t>
      </w:r>
      <w:r>
        <w:rPr>
          <w:i/>
          <w:iCs/>
        </w:rPr>
        <w:t>Review of Educational R</w:t>
      </w:r>
      <w:r w:rsidRPr="00BC4A31">
        <w:rPr>
          <w:i/>
          <w:iCs/>
        </w:rPr>
        <w:t>esearch</w:t>
      </w:r>
      <w:r>
        <w:t xml:space="preserve">, </w:t>
      </w:r>
      <w:r w:rsidRPr="00BC4A31">
        <w:rPr>
          <w:i/>
          <w:iCs/>
        </w:rPr>
        <w:t>81</w:t>
      </w:r>
      <w:r w:rsidRPr="00BC4A31">
        <w:t>(2), 132-169.</w:t>
      </w:r>
      <w:r>
        <w:t xml:space="preserve"> doi: </w:t>
      </w:r>
      <w:r w:rsidRPr="00BC4A31">
        <w:t>10.3102/0034654311404435</w:t>
      </w:r>
    </w:p>
    <w:p w14:paraId="5333F96E" w14:textId="13262154" w:rsidR="001958F5" w:rsidRPr="00000771" w:rsidRDefault="001958F5" w:rsidP="001958F5">
      <w:pPr>
        <w:pStyle w:val="References"/>
      </w:pPr>
      <w:r>
        <w:t xml:space="preserve">Bevan, B. (2017). </w:t>
      </w:r>
      <w:r w:rsidRPr="001958F5">
        <w:t>The promise and the promises of Making in science</w:t>
      </w:r>
      <w:r>
        <w:t xml:space="preserve"> </w:t>
      </w:r>
      <w:r w:rsidRPr="001958F5">
        <w:t xml:space="preserve">education. </w:t>
      </w:r>
      <w:r w:rsidRPr="001958F5">
        <w:rPr>
          <w:i/>
        </w:rPr>
        <w:t>Studies in Science Education 53</w:t>
      </w:r>
      <w:r>
        <w:t>(</w:t>
      </w:r>
      <w:r w:rsidRPr="001958F5">
        <w:t>1</w:t>
      </w:r>
      <w:r>
        <w:t>)</w:t>
      </w:r>
      <w:r w:rsidRPr="001958F5">
        <w:t>, 75–103.</w:t>
      </w:r>
      <w:r>
        <w:t xml:space="preserve"> doi: </w:t>
      </w:r>
      <w:r w:rsidRPr="001958F5">
        <w:t>10.1080/03057267.2016.1275380</w:t>
      </w:r>
    </w:p>
    <w:p w14:paraId="050B8E0F" w14:textId="77777777" w:rsidR="00000771" w:rsidRPr="00000771" w:rsidRDefault="00000771" w:rsidP="00000771">
      <w:pPr>
        <w:pStyle w:val="References"/>
      </w:pPr>
      <w:r w:rsidRPr="00000771">
        <w:t xml:space="preserve">Bidjerano T (2010) Self-conscious emotions in response to perceived failure: a structural equation model. </w:t>
      </w:r>
      <w:r w:rsidRPr="00000771">
        <w:rPr>
          <w:i/>
        </w:rPr>
        <w:t>The Journal of Experimental Education, 78</w:t>
      </w:r>
      <w:r w:rsidRPr="00000771">
        <w:t>(3), 318–342. doi:10.1080/00220970903548079</w:t>
      </w:r>
    </w:p>
    <w:p w14:paraId="27559B36" w14:textId="77777777" w:rsidR="00000771" w:rsidRPr="00000771" w:rsidRDefault="00000771" w:rsidP="00000771">
      <w:pPr>
        <w:pStyle w:val="References"/>
      </w:pPr>
      <w:r w:rsidRPr="00000771">
        <w:t xml:space="preserve">Boruchovitch, E. (2004). A study of causal attributions for success and failure in mathematics among Brazilian students. </w:t>
      </w:r>
      <w:r w:rsidRPr="00000771">
        <w:rPr>
          <w:i/>
          <w:iCs/>
        </w:rPr>
        <w:t>Interamerican Journal of Psychology, 38</w:t>
      </w:r>
      <w:r w:rsidRPr="00000771">
        <w:rPr>
          <w:iCs/>
        </w:rPr>
        <w:t>(1), 53-60</w:t>
      </w:r>
      <w:r w:rsidRPr="00000771">
        <w:t>.</w:t>
      </w:r>
    </w:p>
    <w:p w14:paraId="7ED31634" w14:textId="4E031F9D" w:rsidR="004A3788" w:rsidRDefault="00A16474" w:rsidP="00000771">
      <w:pPr>
        <w:pStyle w:val="References"/>
      </w:pPr>
      <w:r>
        <w:t>Dweck, C. S</w:t>
      </w:r>
      <w:r w:rsidR="004A3788" w:rsidRPr="004A3788">
        <w:t xml:space="preserve">. (2006). </w:t>
      </w:r>
      <w:r w:rsidR="004A3788" w:rsidRPr="004A3788">
        <w:rPr>
          <w:i/>
        </w:rPr>
        <w:t>Mindset: The new psychology of success</w:t>
      </w:r>
      <w:r w:rsidR="004A3788" w:rsidRPr="004A3788">
        <w:t>. New York</w:t>
      </w:r>
      <w:r w:rsidR="004A3788">
        <w:t>, NY</w:t>
      </w:r>
      <w:r w:rsidR="004A3788" w:rsidRPr="004A3788">
        <w:t>: Random House.</w:t>
      </w:r>
    </w:p>
    <w:p w14:paraId="1A301E37" w14:textId="21C0DC60" w:rsidR="00AA018C" w:rsidRDefault="00AA018C" w:rsidP="00000771">
      <w:pPr>
        <w:pStyle w:val="References"/>
      </w:pPr>
      <w:r w:rsidRPr="00AA018C">
        <w:t>Fram, S. M. (2013). The constant comparative analysis met</w:t>
      </w:r>
      <w:r>
        <w:t xml:space="preserve">hod outside of grounded theory. </w:t>
      </w:r>
      <w:r w:rsidRPr="00AA018C">
        <w:rPr>
          <w:i/>
          <w:iCs/>
        </w:rPr>
        <w:t>The Qualitative Report</w:t>
      </w:r>
      <w:r>
        <w:t xml:space="preserve">, </w:t>
      </w:r>
      <w:r w:rsidRPr="00AA018C">
        <w:rPr>
          <w:i/>
          <w:iCs/>
        </w:rPr>
        <w:t>18</w:t>
      </w:r>
      <w:r>
        <w:t>(1), 1-25.</w:t>
      </w:r>
    </w:p>
    <w:p w14:paraId="09E581B5" w14:textId="77777777" w:rsidR="00000771" w:rsidRDefault="00000771" w:rsidP="00000771">
      <w:pPr>
        <w:pStyle w:val="References"/>
      </w:pPr>
      <w:r w:rsidRPr="00000771">
        <w:t xml:space="preserve">Guler, D. M. P. (2013). Success and failure in science education: a focus on group study on Turkish students. </w:t>
      </w:r>
      <w:r w:rsidRPr="00000771">
        <w:rPr>
          <w:i/>
        </w:rPr>
        <w:t>Journal of Baltic Science Education, 12</w:t>
      </w:r>
      <w:r w:rsidRPr="00000771">
        <w:t>(6), 716-729.</w:t>
      </w:r>
    </w:p>
    <w:p w14:paraId="57A78996" w14:textId="77777777" w:rsidR="00CC1666" w:rsidRPr="000E7FFA" w:rsidRDefault="00CC1666" w:rsidP="00000771">
      <w:pPr>
        <w:pStyle w:val="References"/>
      </w:pPr>
      <w:r w:rsidRPr="000E7FFA">
        <w:t xml:space="preserve">Kapur, M. (2008). Productive failure. </w:t>
      </w:r>
      <w:r w:rsidRPr="000E7FFA">
        <w:rPr>
          <w:i/>
        </w:rPr>
        <w:t>Cognition and Instruction, 26</w:t>
      </w:r>
      <w:r w:rsidRPr="000E7FFA">
        <w:t>(3), 379–</w:t>
      </w:r>
      <w:r w:rsidRPr="000E7FFA">
        <w:t>424.</w:t>
      </w:r>
    </w:p>
    <w:p w14:paraId="51561D14" w14:textId="77777777" w:rsidR="00000771" w:rsidRPr="000E7FFA" w:rsidRDefault="00000771" w:rsidP="00000771">
      <w:pPr>
        <w:pStyle w:val="References"/>
      </w:pPr>
      <w:r w:rsidRPr="000E7FFA">
        <w:t xml:space="preserve">Law, Y. K. (2009). The role of attribution beliefs, motivation and strategy use in Chinese fifth-graders’ reading comprehension. </w:t>
      </w:r>
      <w:r w:rsidRPr="000E7FFA">
        <w:rPr>
          <w:i/>
        </w:rPr>
        <w:t>Educational Research, 51</w:t>
      </w:r>
      <w:r w:rsidRPr="000E7FFA">
        <w:t>(1), 77-95. doi: 10.1080/00131880802704764</w:t>
      </w:r>
    </w:p>
    <w:p w14:paraId="6FF97C79" w14:textId="0CB5E3EC" w:rsidR="00F34DE0" w:rsidRPr="000E7FFA" w:rsidRDefault="00F34DE0">
      <w:pPr>
        <w:pStyle w:val="References"/>
      </w:pPr>
      <w:r w:rsidRPr="000E7FFA">
        <w:t xml:space="preserve">Litts, B., Kafai, Y. B., Searle, K. A., &amp; Dieckmeyer, E. Perceptions of Productive Failure in Design Projects: High School Students’ Challenges in Making Electronic Textiles. </w:t>
      </w:r>
      <w:r w:rsidR="0067135C" w:rsidRPr="004D46F4">
        <w:t>In</w:t>
      </w:r>
      <w:r w:rsidRPr="000E7FFA">
        <w:rPr>
          <w:i/>
        </w:rPr>
        <w:t xml:space="preserve"> Proceedings of the 2016 International Conference of the Learning Sciences</w:t>
      </w:r>
      <w:r w:rsidRPr="000E7FFA">
        <w:t xml:space="preserve">, 498-505.  </w:t>
      </w:r>
    </w:p>
    <w:p w14:paraId="6FA65D15" w14:textId="77777777" w:rsidR="00000771" w:rsidRPr="000E7FFA" w:rsidRDefault="00000771" w:rsidP="00000771">
      <w:pPr>
        <w:pStyle w:val="References"/>
      </w:pPr>
      <w:r w:rsidRPr="000E7FFA">
        <w:t>Lottero-Perdue, P. S.</w:t>
      </w:r>
      <w:r w:rsidR="00CF35AA" w:rsidRPr="000E7FFA">
        <w:t>,</w:t>
      </w:r>
      <w:r w:rsidRPr="000E7FFA">
        <w:t xml:space="preserve"> &amp; Parry, E. A. (2014). </w:t>
      </w:r>
      <w:r w:rsidRPr="000E7FFA">
        <w:rPr>
          <w:i/>
        </w:rPr>
        <w:t>Perspectives on failure in the classroom by elementary teachers new to teaching engineering</w:t>
      </w:r>
      <w:r w:rsidRPr="000E7FFA">
        <w:t>. Paper presented at the 121st ASEE Annual Conference &amp; Exposition: Indianapolis, IN.</w:t>
      </w:r>
    </w:p>
    <w:p w14:paraId="5C4DE025" w14:textId="77777777" w:rsidR="00EE22C5" w:rsidRPr="000E7FFA" w:rsidRDefault="00EE22C5" w:rsidP="00000771">
      <w:pPr>
        <w:pStyle w:val="References"/>
      </w:pPr>
      <w:r w:rsidRPr="000E7FFA">
        <w:t xml:space="preserve">Martin, L. (2015). The promise of the Maker Movement for education. </w:t>
      </w:r>
      <w:r w:rsidRPr="000E7FFA">
        <w:rPr>
          <w:i/>
          <w:iCs/>
        </w:rPr>
        <w:t>Journal of Pre-College Engineering Education Research (J-PEER)</w:t>
      </w:r>
      <w:r w:rsidRPr="000E7FFA">
        <w:t xml:space="preserve">, </w:t>
      </w:r>
      <w:r w:rsidRPr="000E7FFA">
        <w:rPr>
          <w:i/>
          <w:iCs/>
        </w:rPr>
        <w:t>5</w:t>
      </w:r>
      <w:r w:rsidRPr="000E7FFA">
        <w:t>(1), 30-39.</w:t>
      </w:r>
    </w:p>
    <w:p w14:paraId="3777B9DD" w14:textId="1B6BCFFD" w:rsidR="00F34DE0" w:rsidRPr="000E7FFA" w:rsidRDefault="00F34DE0" w:rsidP="00000771">
      <w:pPr>
        <w:pStyle w:val="References"/>
      </w:pPr>
      <w:r w:rsidRPr="000E7FFA">
        <w:t>Martin, C. (2014</w:t>
      </w:r>
      <w:r w:rsidR="000E7FFA" w:rsidRPr="004D46F4">
        <w:t>, November 8</w:t>
      </w:r>
      <w:r w:rsidR="00A16474">
        <w:t>). Wearing your failures on your s</w:t>
      </w:r>
      <w:r w:rsidRPr="000E7FFA">
        <w:t xml:space="preserve">leeve. </w:t>
      </w:r>
      <w:r w:rsidRPr="000E7FFA">
        <w:rPr>
          <w:i/>
        </w:rPr>
        <w:t>New York Times</w:t>
      </w:r>
      <w:r w:rsidR="000E7FFA" w:rsidRPr="004D46F4">
        <w:t>, p. BU1</w:t>
      </w:r>
      <w:r w:rsidRPr="000E7FFA">
        <w:t>. Retrieved from https://www.nytimes.com/2014/11/09/business/wearing-your-failures-on-your-sleeve.html</w:t>
      </w:r>
    </w:p>
    <w:p w14:paraId="329CCC7A" w14:textId="3E010EAF" w:rsidR="00000771" w:rsidRPr="000E7FFA" w:rsidRDefault="00000771" w:rsidP="00000771">
      <w:pPr>
        <w:pStyle w:val="References"/>
      </w:pPr>
      <w:r w:rsidRPr="000E7FFA">
        <w:t xml:space="preserve">Riketta, M., &amp; Ziegler, R. (2007). Self-ambivalence and reactions to success versus failure. </w:t>
      </w:r>
      <w:r w:rsidRPr="000E7FFA">
        <w:rPr>
          <w:i/>
        </w:rPr>
        <w:t>European Journal of Social Psychology, 37</w:t>
      </w:r>
      <w:r w:rsidRPr="000E7FFA">
        <w:t>, 547-560. doi: 10.1002/ejsp.376</w:t>
      </w:r>
    </w:p>
    <w:p w14:paraId="445D206A" w14:textId="3A4CEC45" w:rsidR="00000771" w:rsidRPr="00000771" w:rsidRDefault="004D46F4" w:rsidP="00C96463">
      <w:pPr>
        <w:pStyle w:val="References"/>
      </w:pPr>
      <w:r>
        <w:t xml:space="preserve">Ryoo, J. </w:t>
      </w:r>
      <w:r w:rsidR="00F34DE0" w:rsidRPr="000E7FFA">
        <w:t xml:space="preserve">J., Bulalacao, N., Kekelis, L., McLeod, E., &amp; Henriquez, B. (2015). Tinkering with </w:t>
      </w:r>
      <w:r w:rsidR="00F34DE0" w:rsidRPr="000E7FFA">
        <w:t>“Failure”: Equity, Learning and the Iterative Design</w:t>
      </w:r>
      <w:r>
        <w:t xml:space="preserve"> Process. Paper presented at</w:t>
      </w:r>
      <w:r w:rsidR="00F34DE0" w:rsidRPr="000E7FFA">
        <w:t xml:space="preserve"> </w:t>
      </w:r>
      <w:r w:rsidR="00F34DE0" w:rsidRPr="004D46F4">
        <w:rPr>
          <w:i/>
        </w:rPr>
        <w:t>FabLearn’15 Conference</w:t>
      </w:r>
      <w:r w:rsidR="00F34DE0" w:rsidRPr="000E7FFA">
        <w:t>, Stanford, CA.</w:t>
      </w:r>
    </w:p>
    <w:p w14:paraId="43B14FE9" w14:textId="77777777" w:rsidR="00A86DF1" w:rsidRDefault="00A86DF1" w:rsidP="00000771">
      <w:pPr>
        <w:pStyle w:val="References"/>
      </w:pPr>
      <w:r>
        <w:t xml:space="preserve">Saldaña, J. (2013). </w:t>
      </w:r>
      <w:r>
        <w:rPr>
          <w:i/>
        </w:rPr>
        <w:t xml:space="preserve">The coding manual for qualitative researchers </w:t>
      </w:r>
      <w:r>
        <w:t>(2</w:t>
      </w:r>
      <w:r w:rsidRPr="00A86DF1">
        <w:rPr>
          <w:vertAlign w:val="superscript"/>
        </w:rPr>
        <w:t>nd</w:t>
      </w:r>
      <w:r>
        <w:t xml:space="preserve"> ed.). Los Angeles, CA: Sage.</w:t>
      </w:r>
    </w:p>
    <w:p w14:paraId="098638C2" w14:textId="3B1236F4" w:rsidR="00C638F4" w:rsidRDefault="00C638F4">
      <w:pPr>
        <w:pStyle w:val="References"/>
      </w:pPr>
      <w:r>
        <w:t xml:space="preserve">Sheridan, K., Halverson, E., Litts, B., Brahms, L., Jacobs-Priebe, L., &amp; Owens, T. (2014). Learning in the making: A comparative case study of three makerspaces. </w:t>
      </w:r>
      <w:r w:rsidRPr="00920FEA">
        <w:rPr>
          <w:i/>
        </w:rPr>
        <w:t>Harvard Educational Review, 84</w:t>
      </w:r>
      <w:r>
        <w:t xml:space="preserve">(4), 505-31. </w:t>
      </w:r>
    </w:p>
    <w:p w14:paraId="6BA36EC3" w14:textId="53486863" w:rsidR="00920FEA" w:rsidRDefault="00920FEA" w:rsidP="00000771">
      <w:pPr>
        <w:pStyle w:val="References"/>
      </w:pPr>
      <w:r w:rsidRPr="00920FEA">
        <w:t>Simpson, A.,</w:t>
      </w:r>
      <w:r w:rsidRPr="00920FEA">
        <w:rPr>
          <w:b/>
        </w:rPr>
        <w:t xml:space="preserve"> </w:t>
      </w:r>
      <w:r w:rsidRPr="00920FEA">
        <w:t xml:space="preserve">&amp; Maltese, A. V. (2017). “Failure is a major component of learning anything.”: The role of failure in the career development of STEM professionals. </w:t>
      </w:r>
      <w:r w:rsidRPr="00920FEA">
        <w:rPr>
          <w:i/>
        </w:rPr>
        <w:t>Journal of Science and Technology Education, 26</w:t>
      </w:r>
      <w:r w:rsidRPr="00920FEA">
        <w:t>(2), 223-237</w:t>
      </w:r>
      <w:r w:rsidRPr="00920FEA">
        <w:rPr>
          <w:i/>
        </w:rPr>
        <w:t xml:space="preserve">. </w:t>
      </w:r>
      <w:r w:rsidRPr="00920FEA">
        <w:t>doi: 10.1007/s10956-016-9674-9</w:t>
      </w:r>
    </w:p>
    <w:p w14:paraId="0453697A" w14:textId="44D2F23A" w:rsidR="006B652D" w:rsidRDefault="006B652D" w:rsidP="00000771">
      <w:pPr>
        <w:pStyle w:val="References"/>
      </w:pPr>
      <w:r w:rsidRPr="006B652D">
        <w:t>Star, S. L., &amp; Griesemer, J. R. (1989). Institutional ecology,</w:t>
      </w:r>
      <w:r>
        <w:t xml:space="preserve"> </w:t>
      </w:r>
      <w:r w:rsidRPr="006B652D">
        <w:t xml:space="preserve">translations' and boundary objects: Amateurs and professionals in Berkeley's Museum </w:t>
      </w:r>
      <w:r>
        <w:t xml:space="preserve">of Vertebrate Zoology, 1907-39. </w:t>
      </w:r>
      <w:r>
        <w:rPr>
          <w:i/>
          <w:iCs/>
        </w:rPr>
        <w:t>Social Studies of S</w:t>
      </w:r>
      <w:r w:rsidRPr="006B652D">
        <w:rPr>
          <w:i/>
          <w:iCs/>
        </w:rPr>
        <w:t>cience</w:t>
      </w:r>
      <w:r>
        <w:t xml:space="preserve">, </w:t>
      </w:r>
      <w:r w:rsidRPr="006B652D">
        <w:rPr>
          <w:i/>
          <w:iCs/>
        </w:rPr>
        <w:t>19</w:t>
      </w:r>
      <w:r w:rsidRPr="006B652D">
        <w:t>(3), 387-420.</w:t>
      </w:r>
    </w:p>
    <w:p w14:paraId="0F0219E8" w14:textId="77777777" w:rsidR="000C4065" w:rsidRDefault="000C4065" w:rsidP="00000771">
      <w:pPr>
        <w:pStyle w:val="References"/>
      </w:pPr>
      <w:r w:rsidRPr="000C4065">
        <w:t xml:space="preserve">Suchman, L. (1994). Working relations of technology production and use. </w:t>
      </w:r>
      <w:r w:rsidRPr="000C4065">
        <w:rPr>
          <w:i/>
        </w:rPr>
        <w:t>Computer Supported Cooperative Work, 2</w:t>
      </w:r>
      <w:r w:rsidRPr="000C4065">
        <w:t>, 21–39.</w:t>
      </w:r>
    </w:p>
    <w:p w14:paraId="5EA88FAD" w14:textId="77777777" w:rsidR="00000771" w:rsidRPr="00000771" w:rsidRDefault="00000771" w:rsidP="00000771">
      <w:pPr>
        <w:pStyle w:val="References"/>
      </w:pPr>
      <w:r w:rsidRPr="00000771">
        <w:t xml:space="preserve">Thomas, A. M. (2014). </w:t>
      </w:r>
      <w:r w:rsidRPr="00000771">
        <w:rPr>
          <w:i/>
        </w:rPr>
        <w:t>Making makers: kids, tools, and the future of innovation</w:t>
      </w:r>
      <w:r w:rsidRPr="00000771">
        <w:t>. Sebastopol, CA: Maker Media, Inc.</w:t>
      </w:r>
    </w:p>
    <w:p w14:paraId="039CDB1C" w14:textId="77777777" w:rsidR="00195949" w:rsidRPr="001764B6" w:rsidRDefault="00000771" w:rsidP="00195949">
      <w:pPr>
        <w:pStyle w:val="References"/>
      </w:pPr>
      <w:r w:rsidRPr="00000771">
        <w:t xml:space="preserve">Weiner, B. (1986). </w:t>
      </w:r>
      <w:r w:rsidRPr="00000771">
        <w:rPr>
          <w:i/>
        </w:rPr>
        <w:t>An attributional theory of motivation and emotion</w:t>
      </w:r>
      <w:r w:rsidRPr="00000771">
        <w:t>. New York, NY: Springer.</w:t>
      </w:r>
    </w:p>
    <w:p w14:paraId="338E6CEE" w14:textId="77777777" w:rsidR="00165406" w:rsidRDefault="00165406" w:rsidP="00165406">
      <w:pPr>
        <w:pStyle w:val="Heading1"/>
      </w:pPr>
      <w:r>
        <w:t xml:space="preserve">Acknowledgments </w:t>
      </w:r>
    </w:p>
    <w:p w14:paraId="79F5C34B" w14:textId="613BF2E1" w:rsidR="00165406" w:rsidRPr="001764B6" w:rsidRDefault="00195949" w:rsidP="00165406">
      <w:pPr>
        <w:pStyle w:val="BodyText"/>
        <w:rPr>
          <w:szCs w:val="20"/>
        </w:rPr>
      </w:pPr>
      <w:r w:rsidRPr="00195949">
        <w:rPr>
          <w:szCs w:val="20"/>
        </w:rPr>
        <w:lastRenderedPageBreak/>
        <w:t xml:space="preserve">This material is based upon work supported by the National Science Foundation under Grant No. </w:t>
      </w:r>
      <w:r w:rsidR="00A126CC" w:rsidRPr="00A126CC">
        <w:rPr>
          <w:szCs w:val="20"/>
        </w:rPr>
        <w:t>DRL-1623452</w:t>
      </w:r>
      <w:r w:rsidRPr="00195949">
        <w:rPr>
          <w:szCs w:val="20"/>
        </w:rPr>
        <w:t>.</w:t>
      </w:r>
      <w:r>
        <w:rPr>
          <w:szCs w:val="20"/>
        </w:rPr>
        <w:t xml:space="preserve"> </w:t>
      </w:r>
      <w:r w:rsidRPr="00195949">
        <w:rPr>
          <w:szCs w:val="20"/>
        </w:rPr>
        <w:t>Any opinions, findings, and conclusions or recommendations expressed in this material are those of the author(s) and do not necessarily reflect the views of the National Science Foundation.</w:t>
      </w:r>
      <w:bookmarkStart w:id="2" w:name="_GoBack"/>
      <w:bookmarkEnd w:id="2"/>
    </w:p>
    <w:sectPr w:rsidR="00165406" w:rsidRPr="001764B6" w:rsidSect="00591BDD">
      <w:footerReference w:type="default" r:id="rId8"/>
      <w:footnotePr>
        <w:pos w:val="beneathText"/>
      </w:footnotePr>
      <w:pgSz w:w="11899" w:h="16838"/>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2DF12" w14:textId="77777777" w:rsidR="009D29DE" w:rsidRDefault="009D29DE">
      <w:r>
        <w:separator/>
      </w:r>
    </w:p>
  </w:endnote>
  <w:endnote w:type="continuationSeparator" w:id="0">
    <w:p w14:paraId="01295614" w14:textId="77777777" w:rsidR="009D29DE" w:rsidRDefault="009D2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A2606" w14:textId="4F88C855" w:rsidR="007E2383" w:rsidRDefault="007E2383" w:rsidP="00AB4177">
    <w:pPr>
      <w:pStyle w:val="Footer"/>
    </w:pPr>
  </w:p>
  <w:p w14:paraId="0F76944E" w14:textId="77777777" w:rsidR="007E2383" w:rsidRDefault="007E23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2CE11" w14:textId="77777777" w:rsidR="009D29DE" w:rsidRDefault="009D29DE">
      <w:r>
        <w:separator/>
      </w:r>
    </w:p>
  </w:footnote>
  <w:footnote w:type="continuationSeparator" w:id="0">
    <w:p w14:paraId="0D074081" w14:textId="77777777" w:rsidR="009D29DE" w:rsidRDefault="009D29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7D60A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1B439CC"/>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5CDE3132"/>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D702072C"/>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08F61E50"/>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C758EF96"/>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ACEBCFE"/>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E20F69E"/>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2580476"/>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F8E0A0E"/>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F4DA17B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08A38B1"/>
    <w:multiLevelType w:val="multilevel"/>
    <w:tmpl w:val="FD509C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6C2383F"/>
    <w:multiLevelType w:val="hybridMultilevel"/>
    <w:tmpl w:val="01E041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6B5ED9"/>
    <w:multiLevelType w:val="hybridMultilevel"/>
    <w:tmpl w:val="02BAF806"/>
    <w:lvl w:ilvl="0" w:tplc="0409000F">
      <w:start w:val="1"/>
      <w:numFmt w:val="decimal"/>
      <w:lvlText w:val="%1."/>
      <w:lvlJc w:val="left"/>
      <w:pPr>
        <w:tabs>
          <w:tab w:val="num" w:pos="648"/>
        </w:tabs>
        <w:ind w:left="648" w:hanging="360"/>
      </w:p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4" w15:restartNumberingAfterBreak="0">
    <w:nsid w:val="2C9751CD"/>
    <w:multiLevelType w:val="hybridMultilevel"/>
    <w:tmpl w:val="E012C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B229F3"/>
    <w:multiLevelType w:val="hybridMultilevel"/>
    <w:tmpl w:val="92C29660"/>
    <w:lvl w:ilvl="0" w:tplc="69067D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7153C49"/>
    <w:multiLevelType w:val="hybridMultilevel"/>
    <w:tmpl w:val="4502CDFC"/>
    <w:lvl w:ilvl="0" w:tplc="0E44A6A2">
      <w:start w:val="1"/>
      <w:numFmt w:val="decimal"/>
      <w:lvlText w:val="%1)"/>
      <w:lvlJc w:val="left"/>
      <w:pPr>
        <w:tabs>
          <w:tab w:val="num" w:pos="720"/>
        </w:tabs>
        <w:ind w:left="28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2833AB0"/>
    <w:multiLevelType w:val="multilevel"/>
    <w:tmpl w:val="4502CDFC"/>
    <w:lvl w:ilvl="0">
      <w:start w:val="1"/>
      <w:numFmt w:val="decimal"/>
      <w:lvlText w:val="%1)"/>
      <w:lvlJc w:val="left"/>
      <w:pPr>
        <w:tabs>
          <w:tab w:val="num" w:pos="720"/>
        </w:tabs>
        <w:ind w:left="28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FFA17E6"/>
    <w:multiLevelType w:val="multilevel"/>
    <w:tmpl w:val="025869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18"/>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6"/>
  </w:num>
  <w:num w:numId="14">
    <w:abstractNumId w:val="15"/>
  </w:num>
  <w:num w:numId="15">
    <w:abstractNumId w:val="11"/>
  </w:num>
  <w:num w:numId="16">
    <w:abstractNumId w:val="17"/>
  </w:num>
  <w:num w:numId="17">
    <w:abstractNumId w:val="13"/>
  </w:num>
  <w:num w:numId="18">
    <w:abstractNumId w:val="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2F4"/>
    <w:rsid w:val="00000771"/>
    <w:rsid w:val="00001C47"/>
    <w:rsid w:val="00004163"/>
    <w:rsid w:val="00005CBB"/>
    <w:rsid w:val="00026E24"/>
    <w:rsid w:val="0004358C"/>
    <w:rsid w:val="000708F5"/>
    <w:rsid w:val="00076685"/>
    <w:rsid w:val="00082E6D"/>
    <w:rsid w:val="000869DB"/>
    <w:rsid w:val="000A1146"/>
    <w:rsid w:val="000A79A8"/>
    <w:rsid w:val="000C4065"/>
    <w:rsid w:val="000C5B70"/>
    <w:rsid w:val="000D2A86"/>
    <w:rsid w:val="000D542C"/>
    <w:rsid w:val="000E131B"/>
    <w:rsid w:val="000E5C82"/>
    <w:rsid w:val="000E7FFA"/>
    <w:rsid w:val="00107E74"/>
    <w:rsid w:val="00121999"/>
    <w:rsid w:val="00121FE6"/>
    <w:rsid w:val="00130E7C"/>
    <w:rsid w:val="001414A5"/>
    <w:rsid w:val="00153689"/>
    <w:rsid w:val="001553C8"/>
    <w:rsid w:val="0016511C"/>
    <w:rsid w:val="00165406"/>
    <w:rsid w:val="00170D3C"/>
    <w:rsid w:val="00183300"/>
    <w:rsid w:val="00192C59"/>
    <w:rsid w:val="001958F5"/>
    <w:rsid w:val="00195949"/>
    <w:rsid w:val="001B513D"/>
    <w:rsid w:val="001D6BCC"/>
    <w:rsid w:val="001F3680"/>
    <w:rsid w:val="001F4EC1"/>
    <w:rsid w:val="001F6A8F"/>
    <w:rsid w:val="00204AA5"/>
    <w:rsid w:val="002147F9"/>
    <w:rsid w:val="00214B4E"/>
    <w:rsid w:val="0021652D"/>
    <w:rsid w:val="0022102A"/>
    <w:rsid w:val="00241083"/>
    <w:rsid w:val="0025158A"/>
    <w:rsid w:val="0027010D"/>
    <w:rsid w:val="00270481"/>
    <w:rsid w:val="00270CBF"/>
    <w:rsid w:val="0028049E"/>
    <w:rsid w:val="002A6649"/>
    <w:rsid w:val="002B136E"/>
    <w:rsid w:val="002D390C"/>
    <w:rsid w:val="002D58D7"/>
    <w:rsid w:val="00351B79"/>
    <w:rsid w:val="00353DB3"/>
    <w:rsid w:val="00361869"/>
    <w:rsid w:val="0036574E"/>
    <w:rsid w:val="00394043"/>
    <w:rsid w:val="003940CA"/>
    <w:rsid w:val="00395B27"/>
    <w:rsid w:val="003C6F9E"/>
    <w:rsid w:val="003D0285"/>
    <w:rsid w:val="003D393E"/>
    <w:rsid w:val="003F17B4"/>
    <w:rsid w:val="00405A9E"/>
    <w:rsid w:val="004214CA"/>
    <w:rsid w:val="00437B3E"/>
    <w:rsid w:val="00446300"/>
    <w:rsid w:val="00462D19"/>
    <w:rsid w:val="00465EEB"/>
    <w:rsid w:val="004A3788"/>
    <w:rsid w:val="004B6CC5"/>
    <w:rsid w:val="004D3300"/>
    <w:rsid w:val="004D46F4"/>
    <w:rsid w:val="004F0C63"/>
    <w:rsid w:val="004F4D59"/>
    <w:rsid w:val="004F4EC1"/>
    <w:rsid w:val="005103A9"/>
    <w:rsid w:val="005206E1"/>
    <w:rsid w:val="00534923"/>
    <w:rsid w:val="0054129F"/>
    <w:rsid w:val="00546BE0"/>
    <w:rsid w:val="00550430"/>
    <w:rsid w:val="00560A43"/>
    <w:rsid w:val="005714C6"/>
    <w:rsid w:val="005745AB"/>
    <w:rsid w:val="00574A81"/>
    <w:rsid w:val="00591BDD"/>
    <w:rsid w:val="005B3201"/>
    <w:rsid w:val="00612F46"/>
    <w:rsid w:val="00636373"/>
    <w:rsid w:val="0064107D"/>
    <w:rsid w:val="00643975"/>
    <w:rsid w:val="00644125"/>
    <w:rsid w:val="006471C3"/>
    <w:rsid w:val="00657448"/>
    <w:rsid w:val="006625B5"/>
    <w:rsid w:val="006633CE"/>
    <w:rsid w:val="006702AE"/>
    <w:rsid w:val="0067135C"/>
    <w:rsid w:val="00674C27"/>
    <w:rsid w:val="00684DF7"/>
    <w:rsid w:val="00687223"/>
    <w:rsid w:val="00687A23"/>
    <w:rsid w:val="006A0DBD"/>
    <w:rsid w:val="006A7651"/>
    <w:rsid w:val="006B2CE7"/>
    <w:rsid w:val="006B652D"/>
    <w:rsid w:val="006B775C"/>
    <w:rsid w:val="006C1C95"/>
    <w:rsid w:val="006C5F64"/>
    <w:rsid w:val="006E1C68"/>
    <w:rsid w:val="006E309F"/>
    <w:rsid w:val="006F52F4"/>
    <w:rsid w:val="006F7361"/>
    <w:rsid w:val="0071475C"/>
    <w:rsid w:val="0071792D"/>
    <w:rsid w:val="00722333"/>
    <w:rsid w:val="0072554F"/>
    <w:rsid w:val="00725FD4"/>
    <w:rsid w:val="00733EA3"/>
    <w:rsid w:val="00747CD2"/>
    <w:rsid w:val="0075212D"/>
    <w:rsid w:val="00793E15"/>
    <w:rsid w:val="007B0523"/>
    <w:rsid w:val="007B6263"/>
    <w:rsid w:val="007D5B1D"/>
    <w:rsid w:val="007E2383"/>
    <w:rsid w:val="007E5295"/>
    <w:rsid w:val="007E7F6F"/>
    <w:rsid w:val="008026F3"/>
    <w:rsid w:val="008038EC"/>
    <w:rsid w:val="00843F3F"/>
    <w:rsid w:val="0084603B"/>
    <w:rsid w:val="0086469A"/>
    <w:rsid w:val="00864F23"/>
    <w:rsid w:val="00876CC7"/>
    <w:rsid w:val="008C5FFB"/>
    <w:rsid w:val="00920FEA"/>
    <w:rsid w:val="00951770"/>
    <w:rsid w:val="00961154"/>
    <w:rsid w:val="009645C0"/>
    <w:rsid w:val="009808D8"/>
    <w:rsid w:val="009A5724"/>
    <w:rsid w:val="009C71E7"/>
    <w:rsid w:val="009C7D06"/>
    <w:rsid w:val="009D29DE"/>
    <w:rsid w:val="009D3E52"/>
    <w:rsid w:val="009F5967"/>
    <w:rsid w:val="00A03A42"/>
    <w:rsid w:val="00A126CC"/>
    <w:rsid w:val="00A13083"/>
    <w:rsid w:val="00A16474"/>
    <w:rsid w:val="00A20EAD"/>
    <w:rsid w:val="00A22F31"/>
    <w:rsid w:val="00A266BF"/>
    <w:rsid w:val="00A3502A"/>
    <w:rsid w:val="00A452C3"/>
    <w:rsid w:val="00A63395"/>
    <w:rsid w:val="00A86DF1"/>
    <w:rsid w:val="00A97166"/>
    <w:rsid w:val="00AA018C"/>
    <w:rsid w:val="00AA3346"/>
    <w:rsid w:val="00AB0497"/>
    <w:rsid w:val="00AB4177"/>
    <w:rsid w:val="00AC00CD"/>
    <w:rsid w:val="00AE3054"/>
    <w:rsid w:val="00B2261A"/>
    <w:rsid w:val="00B25019"/>
    <w:rsid w:val="00B36349"/>
    <w:rsid w:val="00B42541"/>
    <w:rsid w:val="00B46196"/>
    <w:rsid w:val="00B56D96"/>
    <w:rsid w:val="00B73E24"/>
    <w:rsid w:val="00B86F5A"/>
    <w:rsid w:val="00B9509B"/>
    <w:rsid w:val="00BA6F09"/>
    <w:rsid w:val="00BC4A31"/>
    <w:rsid w:val="00BC51AD"/>
    <w:rsid w:val="00BC65D4"/>
    <w:rsid w:val="00BE62C0"/>
    <w:rsid w:val="00C00EFD"/>
    <w:rsid w:val="00C41BCD"/>
    <w:rsid w:val="00C62033"/>
    <w:rsid w:val="00C638F4"/>
    <w:rsid w:val="00C66840"/>
    <w:rsid w:val="00C83404"/>
    <w:rsid w:val="00C96463"/>
    <w:rsid w:val="00CA207C"/>
    <w:rsid w:val="00CB03BE"/>
    <w:rsid w:val="00CC1666"/>
    <w:rsid w:val="00CD71CD"/>
    <w:rsid w:val="00CF35AA"/>
    <w:rsid w:val="00CF3FDD"/>
    <w:rsid w:val="00CF6370"/>
    <w:rsid w:val="00D00BEE"/>
    <w:rsid w:val="00D27FB3"/>
    <w:rsid w:val="00D46B91"/>
    <w:rsid w:val="00D636F7"/>
    <w:rsid w:val="00D644B8"/>
    <w:rsid w:val="00D70E65"/>
    <w:rsid w:val="00D9055E"/>
    <w:rsid w:val="00DA7E73"/>
    <w:rsid w:val="00DB456E"/>
    <w:rsid w:val="00DC4FC4"/>
    <w:rsid w:val="00DC5C30"/>
    <w:rsid w:val="00DC6225"/>
    <w:rsid w:val="00DD212A"/>
    <w:rsid w:val="00DD29C6"/>
    <w:rsid w:val="00E27FE7"/>
    <w:rsid w:val="00E32B6B"/>
    <w:rsid w:val="00E43B75"/>
    <w:rsid w:val="00E5144C"/>
    <w:rsid w:val="00E541D9"/>
    <w:rsid w:val="00E56AB6"/>
    <w:rsid w:val="00E57817"/>
    <w:rsid w:val="00E65114"/>
    <w:rsid w:val="00E72F14"/>
    <w:rsid w:val="00E80557"/>
    <w:rsid w:val="00E83805"/>
    <w:rsid w:val="00E842BD"/>
    <w:rsid w:val="00E86ED7"/>
    <w:rsid w:val="00EB3689"/>
    <w:rsid w:val="00EB4487"/>
    <w:rsid w:val="00EC1131"/>
    <w:rsid w:val="00EC319E"/>
    <w:rsid w:val="00EC4A43"/>
    <w:rsid w:val="00EC684E"/>
    <w:rsid w:val="00ED3846"/>
    <w:rsid w:val="00EE0D96"/>
    <w:rsid w:val="00EE22C5"/>
    <w:rsid w:val="00EF7FFE"/>
    <w:rsid w:val="00F01A7E"/>
    <w:rsid w:val="00F26B25"/>
    <w:rsid w:val="00F335EF"/>
    <w:rsid w:val="00F34DE0"/>
    <w:rsid w:val="00F539D6"/>
    <w:rsid w:val="00F86983"/>
    <w:rsid w:val="00F96511"/>
    <w:rsid w:val="00FA6E9B"/>
    <w:rsid w:val="00FA7BA3"/>
    <w:rsid w:val="00FD3EF8"/>
    <w:rsid w:val="00FF3C8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A315A6"/>
  <w14:defaultImageDpi w14:val="300"/>
  <w15:docId w15:val="{1F5CF3C8-A1A3-40AA-AC19-A267624C9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Medium Shading 1 Accent 1" w:qFormat="1"/>
    <w:lsdException w:name="Revision" w:semiHidden="1" w:unhideWhenUsed="1"/>
    <w:lsdException w:name="List Paragraph" w:qFormat="1"/>
    <w:lsdException w:name="Quote" w:qFormat="1"/>
    <w:lsdException w:name="Intense Quote" w:qFormat="1"/>
    <w:lsdException w:name="Medium List 2 Accent 1"/>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99"/>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semiHidden="1" w:uiPriority="71" w:unhideWhenUsed="1"/>
    <w:lsdException w:name="TOC Heading" w:semiHidden="1" w:uiPriority="72" w:unhideWhenUsed="1" w:qFormat="1"/>
    <w:lsdException w:name="Plain Table 1" w:uiPriority="73"/>
    <w:lsdException w:name="Plain Table 2" w:uiPriority="60"/>
    <w:lsdException w:name="Plain Table 3" w:uiPriority="61" w:qFormat="1"/>
    <w:lsdException w:name="Plain Table 4" w:uiPriority="62" w:qFormat="1"/>
    <w:lsdException w:name="Plain Table 5" w:uiPriority="63" w:qFormat="1"/>
    <w:lsdException w:name="Grid Table Light" w:uiPriority="64" w:qFormat="1"/>
    <w:lsdException w:name="Grid Table 1 Light" w:uiPriority="65" w:qFormat="1"/>
    <w:lsdException w:name="Grid Table 2" w:uiPriority="66"/>
    <w:lsdException w:name="Grid Table 3" w:uiPriority="67" w:qFormat="1"/>
    <w:lsdException w:name="Grid Table 4" w:uiPriority="68"/>
    <w:lsdException w:name="Grid Table 5 Dark" w:uiPriority="69"/>
    <w:lsdException w:name="Grid Table 6 Colorful" w:uiPriority="70" w:qFormat="1"/>
    <w:lsdException w:name="Grid Table 7 Colorful" w:uiPriority="71" w:qFormat="1"/>
    <w:lsdException w:name="Grid Table 1 Light Accent 1" w:uiPriority="72" w:qFormat="1"/>
    <w:lsdException w:name="Grid Table 2 Accent 1" w:uiPriority="73" w:qFormat="1"/>
    <w:lsdException w:name="Grid Table 3 Accent 1" w:uiPriority="60" w:qFormat="1"/>
    <w:lsdException w:name="Grid Table 4 Accent 1" w:uiPriority="61"/>
    <w:lsdException w:name="Grid Table 5 Dark Accent 1" w:uiPriority="62" w:qFormat="1"/>
    <w:lsdException w:name="Grid Table 6 Colorful Accent 1" w:uiPriority="63"/>
    <w:lsdException w:name="Grid Table 7 Colorful Accent 1" w:uiPriority="64"/>
    <w:lsdException w:name="Grid Table 1 Light Accent 2" w:uiPriority="65" w:qFormat="1"/>
    <w:lsdException w:name="Grid Table 2 Accent 2" w:uiPriority="66" w:qFormat="1"/>
    <w:lsdException w:name="Grid Table 3 Accent 2" w:uiPriority="67" w:qFormat="1"/>
    <w:lsdException w:name="Grid Table 4 Accent 2" w:uiPriority="68" w:qFormat="1"/>
    <w:lsdException w:name="Grid Table 5 Dark Accent 2" w:uiPriority="69" w:qFormat="1"/>
    <w:lsdException w:name="Grid Table 6 Colorful Accent 2" w:uiPriority="70"/>
    <w:lsdException w:name="Grid Table 7 Colorful Accent 2" w:uiPriority="71"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16A9"/>
    <w:rPr>
      <w:szCs w:val="24"/>
    </w:rPr>
  </w:style>
  <w:style w:type="paragraph" w:styleId="Heading1">
    <w:name w:val="heading 1"/>
    <w:basedOn w:val="Normal"/>
    <w:next w:val="BodyText"/>
    <w:link w:val="Heading1Char"/>
    <w:qFormat/>
    <w:rsid w:val="007A16A9"/>
    <w:pPr>
      <w:autoSpaceDE w:val="0"/>
      <w:autoSpaceDN w:val="0"/>
      <w:adjustRightInd w:val="0"/>
      <w:spacing w:before="240"/>
      <w:outlineLvl w:val="0"/>
    </w:pPr>
    <w:rPr>
      <w:rFonts w:ascii="Arial" w:hAnsi="Arial" w:cs="Arial"/>
      <w:b/>
      <w:bCs/>
      <w:sz w:val="24"/>
    </w:rPr>
  </w:style>
  <w:style w:type="paragraph" w:styleId="Heading2">
    <w:name w:val="heading 2"/>
    <w:basedOn w:val="NoteHeading"/>
    <w:next w:val="BodyText"/>
    <w:autoRedefine/>
    <w:qFormat/>
    <w:rsid w:val="004214CA"/>
    <w:pPr>
      <w:spacing w:before="200"/>
      <w:outlineLvl w:val="1"/>
    </w:pPr>
    <w:rPr>
      <w:rFonts w:ascii="Arial" w:hAnsi="Arial" w:cs="Arial"/>
      <w:sz w:val="24"/>
      <w:szCs w:val="22"/>
    </w:rPr>
  </w:style>
  <w:style w:type="paragraph" w:styleId="Heading3">
    <w:name w:val="heading 3"/>
    <w:basedOn w:val="Normal"/>
    <w:next w:val="BodyText"/>
    <w:link w:val="Heading3Char"/>
    <w:autoRedefine/>
    <w:qFormat/>
    <w:rsid w:val="000E131B"/>
    <w:pPr>
      <w:autoSpaceDE w:val="0"/>
      <w:autoSpaceDN w:val="0"/>
      <w:adjustRightInd w:val="0"/>
      <w:spacing w:before="200"/>
      <w:outlineLvl w:val="2"/>
    </w:pPr>
    <w:rPr>
      <w:rFonts w:ascii="Arial" w:hAnsi="Arial" w:cs="Arial"/>
      <w:szCs w:val="22"/>
      <w:u w:val="single"/>
    </w:rPr>
  </w:style>
  <w:style w:type="paragraph" w:styleId="Heading4">
    <w:name w:val="heading 4"/>
    <w:basedOn w:val="Normal"/>
    <w:next w:val="Normal"/>
    <w:qFormat/>
    <w:rsid w:val="00667B9C"/>
    <w:pPr>
      <w:keepNext/>
      <w:spacing w:before="240" w:after="60"/>
      <w:outlineLvl w:val="3"/>
    </w:pPr>
    <w:rPr>
      <w:b/>
      <w:bCs/>
      <w:sz w:val="28"/>
      <w:szCs w:val="28"/>
    </w:rPr>
  </w:style>
  <w:style w:type="paragraph" w:styleId="Heading5">
    <w:name w:val="heading 5"/>
    <w:basedOn w:val="Normal"/>
    <w:next w:val="Normal"/>
    <w:qFormat/>
    <w:rsid w:val="00667B9C"/>
    <w:pPr>
      <w:spacing w:before="240" w:after="60"/>
      <w:outlineLvl w:val="4"/>
    </w:pPr>
    <w:rPr>
      <w:b/>
      <w:bCs/>
      <w:i/>
      <w:iCs/>
      <w:sz w:val="26"/>
      <w:szCs w:val="26"/>
    </w:rPr>
  </w:style>
  <w:style w:type="paragraph" w:styleId="Heading6">
    <w:name w:val="heading 6"/>
    <w:basedOn w:val="Normal"/>
    <w:next w:val="Normal"/>
    <w:qFormat/>
    <w:rsid w:val="00667B9C"/>
    <w:pPr>
      <w:spacing w:before="240" w:after="60"/>
      <w:outlineLvl w:val="5"/>
    </w:pPr>
    <w:rPr>
      <w:b/>
      <w:bCs/>
      <w:sz w:val="22"/>
      <w:szCs w:val="22"/>
    </w:rPr>
  </w:style>
  <w:style w:type="paragraph" w:styleId="Heading7">
    <w:name w:val="heading 7"/>
    <w:basedOn w:val="Normal"/>
    <w:next w:val="Normal"/>
    <w:qFormat/>
    <w:rsid w:val="00667B9C"/>
    <w:pPr>
      <w:spacing w:before="240" w:after="60"/>
      <w:outlineLvl w:val="6"/>
    </w:pPr>
  </w:style>
  <w:style w:type="paragraph" w:styleId="Heading8">
    <w:name w:val="heading 8"/>
    <w:basedOn w:val="Normal"/>
    <w:next w:val="Normal"/>
    <w:qFormat/>
    <w:rsid w:val="00667B9C"/>
    <w:pPr>
      <w:spacing w:before="240" w:after="60"/>
      <w:outlineLvl w:val="7"/>
    </w:pPr>
    <w:rPr>
      <w:i/>
      <w:iCs/>
    </w:rPr>
  </w:style>
  <w:style w:type="paragraph" w:styleId="Heading9">
    <w:name w:val="heading 9"/>
    <w:basedOn w:val="Normal"/>
    <w:next w:val="Normal"/>
    <w:qFormat/>
    <w:rsid w:val="00667B9C"/>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51381"/>
    <w:rPr>
      <w:color w:val="0000FF"/>
      <w:u w:val="single"/>
    </w:rPr>
  </w:style>
  <w:style w:type="table" w:styleId="TableGrid">
    <w:name w:val="Table Grid"/>
    <w:basedOn w:val="TableNormal"/>
    <w:rsid w:val="00A45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67B9C"/>
    <w:rPr>
      <w:rFonts w:ascii="Tahoma" w:hAnsi="Tahoma" w:cs="Tahoma"/>
      <w:sz w:val="16"/>
      <w:szCs w:val="16"/>
    </w:rPr>
  </w:style>
  <w:style w:type="paragraph" w:styleId="BlockText">
    <w:name w:val="Block Text"/>
    <w:basedOn w:val="Normal"/>
    <w:rsid w:val="00667B9C"/>
    <w:pPr>
      <w:spacing w:after="120"/>
      <w:ind w:left="1440" w:right="1440"/>
    </w:pPr>
  </w:style>
  <w:style w:type="paragraph" w:styleId="BodyText">
    <w:name w:val="Body Text"/>
    <w:basedOn w:val="Normal"/>
    <w:rsid w:val="007A16A9"/>
    <w:pPr>
      <w:autoSpaceDE w:val="0"/>
      <w:autoSpaceDN w:val="0"/>
      <w:adjustRightInd w:val="0"/>
      <w:jc w:val="both"/>
    </w:pPr>
    <w:rPr>
      <w:szCs w:val="22"/>
    </w:rPr>
  </w:style>
  <w:style w:type="paragraph" w:styleId="BodyText2">
    <w:name w:val="Body Text 2"/>
    <w:basedOn w:val="Normal"/>
    <w:rsid w:val="00667B9C"/>
    <w:pPr>
      <w:spacing w:after="120" w:line="480" w:lineRule="auto"/>
    </w:pPr>
  </w:style>
  <w:style w:type="paragraph" w:styleId="BodyText3">
    <w:name w:val="Body Text 3"/>
    <w:basedOn w:val="Normal"/>
    <w:rsid w:val="00667B9C"/>
    <w:pPr>
      <w:spacing w:after="120"/>
    </w:pPr>
    <w:rPr>
      <w:sz w:val="16"/>
      <w:szCs w:val="16"/>
    </w:rPr>
  </w:style>
  <w:style w:type="paragraph" w:styleId="BodyTextFirstIndent">
    <w:name w:val="Body Text First Indent"/>
    <w:basedOn w:val="BodyText"/>
    <w:rsid w:val="007A16A9"/>
    <w:pPr>
      <w:ind w:firstLine="720"/>
    </w:pPr>
  </w:style>
  <w:style w:type="paragraph" w:styleId="BodyTextIndent">
    <w:name w:val="Body Text Indent"/>
    <w:basedOn w:val="Normal"/>
    <w:rsid w:val="00667B9C"/>
    <w:pPr>
      <w:spacing w:after="120"/>
      <w:ind w:left="360"/>
    </w:pPr>
  </w:style>
  <w:style w:type="paragraph" w:styleId="BodyTextFirstIndent2">
    <w:name w:val="Body Text First Indent 2"/>
    <w:basedOn w:val="BodyTextIndent"/>
    <w:rsid w:val="00667B9C"/>
    <w:pPr>
      <w:ind w:firstLine="210"/>
    </w:pPr>
  </w:style>
  <w:style w:type="paragraph" w:styleId="BodyTextIndent2">
    <w:name w:val="Body Text Indent 2"/>
    <w:basedOn w:val="Normal"/>
    <w:rsid w:val="00667B9C"/>
    <w:pPr>
      <w:spacing w:after="120" w:line="480" w:lineRule="auto"/>
      <w:ind w:left="360"/>
    </w:pPr>
  </w:style>
  <w:style w:type="paragraph" w:styleId="BodyTextIndent3">
    <w:name w:val="Body Text Indent 3"/>
    <w:basedOn w:val="Normal"/>
    <w:rsid w:val="00667B9C"/>
    <w:pPr>
      <w:spacing w:after="120"/>
      <w:ind w:left="360"/>
    </w:pPr>
    <w:rPr>
      <w:sz w:val="16"/>
      <w:szCs w:val="16"/>
    </w:rPr>
  </w:style>
  <w:style w:type="paragraph" w:styleId="Caption">
    <w:name w:val="caption"/>
    <w:basedOn w:val="Normal"/>
    <w:next w:val="Normal"/>
    <w:qFormat/>
    <w:rsid w:val="00667B9C"/>
    <w:rPr>
      <w:b/>
      <w:bCs/>
      <w:szCs w:val="20"/>
    </w:rPr>
  </w:style>
  <w:style w:type="paragraph" w:styleId="Closing">
    <w:name w:val="Closing"/>
    <w:basedOn w:val="Normal"/>
    <w:rsid w:val="00667B9C"/>
    <w:pPr>
      <w:ind w:left="4320"/>
    </w:pPr>
  </w:style>
  <w:style w:type="paragraph" w:styleId="CommentText">
    <w:name w:val="annotation text"/>
    <w:basedOn w:val="Normal"/>
    <w:semiHidden/>
    <w:rsid w:val="00667B9C"/>
    <w:rPr>
      <w:szCs w:val="20"/>
    </w:rPr>
  </w:style>
  <w:style w:type="paragraph" w:styleId="CommentSubject">
    <w:name w:val="annotation subject"/>
    <w:basedOn w:val="CommentText"/>
    <w:next w:val="CommentText"/>
    <w:semiHidden/>
    <w:rsid w:val="00667B9C"/>
    <w:rPr>
      <w:b/>
      <w:bCs/>
    </w:rPr>
  </w:style>
  <w:style w:type="paragraph" w:styleId="Date">
    <w:name w:val="Date"/>
    <w:basedOn w:val="Normal"/>
    <w:next w:val="Normal"/>
    <w:rsid w:val="00667B9C"/>
  </w:style>
  <w:style w:type="paragraph" w:styleId="DocumentMap">
    <w:name w:val="Document Map"/>
    <w:basedOn w:val="Normal"/>
    <w:semiHidden/>
    <w:rsid w:val="00667B9C"/>
    <w:pPr>
      <w:shd w:val="clear" w:color="auto" w:fill="000080"/>
    </w:pPr>
    <w:rPr>
      <w:rFonts w:ascii="Tahoma" w:hAnsi="Tahoma" w:cs="Tahoma"/>
      <w:szCs w:val="20"/>
    </w:rPr>
  </w:style>
  <w:style w:type="paragraph" w:styleId="E-mailSignature">
    <w:name w:val="E-mail Signature"/>
    <w:basedOn w:val="Normal"/>
    <w:rsid w:val="00667B9C"/>
  </w:style>
  <w:style w:type="paragraph" w:styleId="EndnoteText">
    <w:name w:val="endnote text"/>
    <w:basedOn w:val="Normal"/>
    <w:semiHidden/>
    <w:rsid w:val="00667B9C"/>
    <w:rPr>
      <w:szCs w:val="20"/>
    </w:rPr>
  </w:style>
  <w:style w:type="paragraph" w:styleId="EnvelopeAddress">
    <w:name w:val="envelope address"/>
    <w:basedOn w:val="Normal"/>
    <w:rsid w:val="00667B9C"/>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67B9C"/>
    <w:rPr>
      <w:rFonts w:ascii="Arial" w:hAnsi="Arial" w:cs="Arial"/>
      <w:szCs w:val="20"/>
    </w:rPr>
  </w:style>
  <w:style w:type="paragraph" w:styleId="Footer">
    <w:name w:val="footer"/>
    <w:basedOn w:val="Normal"/>
    <w:link w:val="FooterChar"/>
    <w:uiPriority w:val="99"/>
    <w:rsid w:val="00667B9C"/>
    <w:pPr>
      <w:tabs>
        <w:tab w:val="center" w:pos="4320"/>
        <w:tab w:val="right" w:pos="8640"/>
      </w:tabs>
    </w:pPr>
  </w:style>
  <w:style w:type="paragraph" w:styleId="FootnoteText">
    <w:name w:val="footnote text"/>
    <w:basedOn w:val="Normal"/>
    <w:semiHidden/>
    <w:rsid w:val="00667B9C"/>
    <w:rPr>
      <w:szCs w:val="20"/>
    </w:rPr>
  </w:style>
  <w:style w:type="paragraph" w:styleId="Header">
    <w:name w:val="header"/>
    <w:basedOn w:val="Normal"/>
    <w:rsid w:val="00667B9C"/>
    <w:pPr>
      <w:tabs>
        <w:tab w:val="center" w:pos="4320"/>
        <w:tab w:val="right" w:pos="8640"/>
      </w:tabs>
    </w:pPr>
  </w:style>
  <w:style w:type="paragraph" w:styleId="HTMLAddress">
    <w:name w:val="HTML Address"/>
    <w:basedOn w:val="Normal"/>
    <w:rsid w:val="00667B9C"/>
    <w:rPr>
      <w:i/>
      <w:iCs/>
    </w:rPr>
  </w:style>
  <w:style w:type="paragraph" w:styleId="HTMLPreformatted">
    <w:name w:val="HTML Preformatted"/>
    <w:basedOn w:val="Normal"/>
    <w:rsid w:val="00667B9C"/>
    <w:rPr>
      <w:rFonts w:ascii="Courier New" w:hAnsi="Courier New" w:cs="Courier New"/>
      <w:szCs w:val="20"/>
    </w:rPr>
  </w:style>
  <w:style w:type="paragraph" w:styleId="Index1">
    <w:name w:val="index 1"/>
    <w:basedOn w:val="Normal"/>
    <w:next w:val="Normal"/>
    <w:autoRedefine/>
    <w:semiHidden/>
    <w:rsid w:val="00667B9C"/>
    <w:pPr>
      <w:ind w:left="240" w:hanging="240"/>
    </w:pPr>
  </w:style>
  <w:style w:type="paragraph" w:styleId="Index2">
    <w:name w:val="index 2"/>
    <w:basedOn w:val="Normal"/>
    <w:next w:val="Normal"/>
    <w:autoRedefine/>
    <w:semiHidden/>
    <w:rsid w:val="00667B9C"/>
    <w:pPr>
      <w:ind w:left="480" w:hanging="240"/>
    </w:pPr>
  </w:style>
  <w:style w:type="paragraph" w:styleId="Index3">
    <w:name w:val="index 3"/>
    <w:basedOn w:val="Normal"/>
    <w:next w:val="Normal"/>
    <w:autoRedefine/>
    <w:semiHidden/>
    <w:rsid w:val="00667B9C"/>
    <w:pPr>
      <w:ind w:left="720" w:hanging="240"/>
    </w:pPr>
  </w:style>
  <w:style w:type="paragraph" w:styleId="Index4">
    <w:name w:val="index 4"/>
    <w:basedOn w:val="Normal"/>
    <w:next w:val="Normal"/>
    <w:autoRedefine/>
    <w:semiHidden/>
    <w:rsid w:val="00667B9C"/>
    <w:pPr>
      <w:ind w:left="960" w:hanging="240"/>
    </w:pPr>
  </w:style>
  <w:style w:type="paragraph" w:styleId="Index5">
    <w:name w:val="index 5"/>
    <w:basedOn w:val="Normal"/>
    <w:next w:val="Normal"/>
    <w:autoRedefine/>
    <w:semiHidden/>
    <w:rsid w:val="00667B9C"/>
    <w:pPr>
      <w:ind w:left="1200" w:hanging="240"/>
    </w:pPr>
  </w:style>
  <w:style w:type="paragraph" w:styleId="Index6">
    <w:name w:val="index 6"/>
    <w:basedOn w:val="Normal"/>
    <w:next w:val="Normal"/>
    <w:autoRedefine/>
    <w:semiHidden/>
    <w:rsid w:val="00667B9C"/>
    <w:pPr>
      <w:ind w:left="1440" w:hanging="240"/>
    </w:pPr>
  </w:style>
  <w:style w:type="paragraph" w:styleId="Index7">
    <w:name w:val="index 7"/>
    <w:basedOn w:val="Normal"/>
    <w:next w:val="Normal"/>
    <w:autoRedefine/>
    <w:semiHidden/>
    <w:rsid w:val="00667B9C"/>
    <w:pPr>
      <w:ind w:left="1680" w:hanging="240"/>
    </w:pPr>
  </w:style>
  <w:style w:type="paragraph" w:styleId="Index8">
    <w:name w:val="index 8"/>
    <w:basedOn w:val="Normal"/>
    <w:next w:val="Normal"/>
    <w:autoRedefine/>
    <w:semiHidden/>
    <w:rsid w:val="00667B9C"/>
    <w:pPr>
      <w:ind w:left="1920" w:hanging="240"/>
    </w:pPr>
  </w:style>
  <w:style w:type="paragraph" w:styleId="Index9">
    <w:name w:val="index 9"/>
    <w:basedOn w:val="Normal"/>
    <w:next w:val="Normal"/>
    <w:autoRedefine/>
    <w:semiHidden/>
    <w:rsid w:val="00667B9C"/>
    <w:pPr>
      <w:ind w:left="2160" w:hanging="240"/>
    </w:pPr>
  </w:style>
  <w:style w:type="paragraph" w:styleId="IndexHeading">
    <w:name w:val="index heading"/>
    <w:basedOn w:val="Normal"/>
    <w:next w:val="Index1"/>
    <w:semiHidden/>
    <w:rsid w:val="00667B9C"/>
    <w:rPr>
      <w:rFonts w:ascii="Arial" w:hAnsi="Arial" w:cs="Arial"/>
      <w:b/>
      <w:bCs/>
    </w:rPr>
  </w:style>
  <w:style w:type="paragraph" w:styleId="List">
    <w:name w:val="List"/>
    <w:basedOn w:val="Normal"/>
    <w:rsid w:val="00667B9C"/>
    <w:pPr>
      <w:ind w:left="360" w:hanging="360"/>
    </w:pPr>
  </w:style>
  <w:style w:type="paragraph" w:styleId="List2">
    <w:name w:val="List 2"/>
    <w:basedOn w:val="Normal"/>
    <w:rsid w:val="00667B9C"/>
    <w:pPr>
      <w:ind w:left="720" w:hanging="360"/>
    </w:pPr>
  </w:style>
  <w:style w:type="paragraph" w:styleId="List3">
    <w:name w:val="List 3"/>
    <w:basedOn w:val="Normal"/>
    <w:rsid w:val="00667B9C"/>
    <w:pPr>
      <w:ind w:left="1080" w:hanging="360"/>
    </w:pPr>
  </w:style>
  <w:style w:type="paragraph" w:styleId="List4">
    <w:name w:val="List 4"/>
    <w:basedOn w:val="Normal"/>
    <w:rsid w:val="00667B9C"/>
    <w:pPr>
      <w:ind w:left="1440" w:hanging="360"/>
    </w:pPr>
  </w:style>
  <w:style w:type="paragraph" w:styleId="List5">
    <w:name w:val="List 5"/>
    <w:basedOn w:val="Normal"/>
    <w:rsid w:val="00667B9C"/>
    <w:pPr>
      <w:ind w:left="1800" w:hanging="360"/>
    </w:pPr>
  </w:style>
  <w:style w:type="paragraph" w:styleId="ListBullet">
    <w:name w:val="List Bullet"/>
    <w:basedOn w:val="Normal"/>
    <w:rsid w:val="00667B9C"/>
    <w:pPr>
      <w:numPr>
        <w:numId w:val="3"/>
      </w:numPr>
    </w:pPr>
  </w:style>
  <w:style w:type="paragraph" w:styleId="ListBullet2">
    <w:name w:val="List Bullet 2"/>
    <w:basedOn w:val="Normal"/>
    <w:rsid w:val="00667B9C"/>
    <w:pPr>
      <w:numPr>
        <w:numId w:val="4"/>
      </w:numPr>
    </w:pPr>
  </w:style>
  <w:style w:type="paragraph" w:styleId="ListBullet3">
    <w:name w:val="List Bullet 3"/>
    <w:basedOn w:val="Normal"/>
    <w:rsid w:val="00667B9C"/>
    <w:pPr>
      <w:numPr>
        <w:numId w:val="5"/>
      </w:numPr>
    </w:pPr>
  </w:style>
  <w:style w:type="paragraph" w:styleId="ListBullet4">
    <w:name w:val="List Bullet 4"/>
    <w:basedOn w:val="Normal"/>
    <w:rsid w:val="00667B9C"/>
    <w:pPr>
      <w:numPr>
        <w:numId w:val="6"/>
      </w:numPr>
    </w:pPr>
  </w:style>
  <w:style w:type="paragraph" w:styleId="ListBullet5">
    <w:name w:val="List Bullet 5"/>
    <w:basedOn w:val="Normal"/>
    <w:rsid w:val="00667B9C"/>
    <w:pPr>
      <w:numPr>
        <w:numId w:val="7"/>
      </w:numPr>
    </w:pPr>
  </w:style>
  <w:style w:type="paragraph" w:styleId="ListContinue">
    <w:name w:val="List Continue"/>
    <w:basedOn w:val="Normal"/>
    <w:rsid w:val="00667B9C"/>
    <w:pPr>
      <w:spacing w:after="120"/>
      <w:ind w:left="360"/>
    </w:pPr>
  </w:style>
  <w:style w:type="paragraph" w:styleId="ListContinue2">
    <w:name w:val="List Continue 2"/>
    <w:basedOn w:val="Normal"/>
    <w:rsid w:val="00667B9C"/>
    <w:pPr>
      <w:spacing w:after="120"/>
      <w:ind w:left="720"/>
    </w:pPr>
  </w:style>
  <w:style w:type="paragraph" w:styleId="ListContinue3">
    <w:name w:val="List Continue 3"/>
    <w:basedOn w:val="Normal"/>
    <w:rsid w:val="00667B9C"/>
    <w:pPr>
      <w:spacing w:after="120"/>
      <w:ind w:left="1080"/>
    </w:pPr>
  </w:style>
  <w:style w:type="paragraph" w:styleId="ListContinue4">
    <w:name w:val="List Continue 4"/>
    <w:basedOn w:val="Normal"/>
    <w:rsid w:val="00667B9C"/>
    <w:pPr>
      <w:spacing w:after="120"/>
      <w:ind w:left="1440"/>
    </w:pPr>
  </w:style>
  <w:style w:type="paragraph" w:styleId="ListContinue5">
    <w:name w:val="List Continue 5"/>
    <w:basedOn w:val="Normal"/>
    <w:rsid w:val="00667B9C"/>
    <w:pPr>
      <w:spacing w:after="120"/>
      <w:ind w:left="1800"/>
    </w:pPr>
  </w:style>
  <w:style w:type="paragraph" w:styleId="ListNumber">
    <w:name w:val="List Number"/>
    <w:basedOn w:val="Normal"/>
    <w:rsid w:val="00667B9C"/>
    <w:pPr>
      <w:numPr>
        <w:numId w:val="8"/>
      </w:numPr>
    </w:pPr>
  </w:style>
  <w:style w:type="paragraph" w:styleId="ListNumber2">
    <w:name w:val="List Number 2"/>
    <w:basedOn w:val="Normal"/>
    <w:rsid w:val="00667B9C"/>
    <w:pPr>
      <w:numPr>
        <w:numId w:val="9"/>
      </w:numPr>
    </w:pPr>
  </w:style>
  <w:style w:type="paragraph" w:styleId="ListNumber3">
    <w:name w:val="List Number 3"/>
    <w:basedOn w:val="Normal"/>
    <w:rsid w:val="00667B9C"/>
    <w:pPr>
      <w:numPr>
        <w:numId w:val="10"/>
      </w:numPr>
    </w:pPr>
  </w:style>
  <w:style w:type="paragraph" w:styleId="ListNumber4">
    <w:name w:val="List Number 4"/>
    <w:basedOn w:val="Normal"/>
    <w:rsid w:val="00667B9C"/>
    <w:pPr>
      <w:numPr>
        <w:numId w:val="11"/>
      </w:numPr>
    </w:pPr>
  </w:style>
  <w:style w:type="paragraph" w:styleId="ListNumber5">
    <w:name w:val="List Number 5"/>
    <w:basedOn w:val="Normal"/>
    <w:rsid w:val="00667B9C"/>
    <w:pPr>
      <w:numPr>
        <w:numId w:val="12"/>
      </w:numPr>
    </w:pPr>
  </w:style>
  <w:style w:type="paragraph" w:styleId="MacroText">
    <w:name w:val="macro"/>
    <w:semiHidden/>
    <w:rsid w:val="00667B9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667B9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667B9C"/>
  </w:style>
  <w:style w:type="paragraph" w:styleId="NormalIndent">
    <w:name w:val="Normal Indent"/>
    <w:basedOn w:val="Normal"/>
    <w:rsid w:val="00667B9C"/>
    <w:pPr>
      <w:ind w:left="720"/>
    </w:pPr>
  </w:style>
  <w:style w:type="paragraph" w:styleId="NoteHeading">
    <w:name w:val="Note Heading"/>
    <w:basedOn w:val="Normal"/>
    <w:next w:val="Normal"/>
    <w:rsid w:val="00667B9C"/>
  </w:style>
  <w:style w:type="paragraph" w:styleId="PlainText">
    <w:name w:val="Plain Text"/>
    <w:basedOn w:val="Normal"/>
    <w:rsid w:val="00667B9C"/>
    <w:rPr>
      <w:rFonts w:ascii="Courier New" w:hAnsi="Courier New" w:cs="Courier New"/>
      <w:szCs w:val="20"/>
    </w:rPr>
  </w:style>
  <w:style w:type="paragraph" w:styleId="Salutation">
    <w:name w:val="Salutation"/>
    <w:basedOn w:val="Normal"/>
    <w:next w:val="Normal"/>
    <w:rsid w:val="00667B9C"/>
  </w:style>
  <w:style w:type="paragraph" w:styleId="Signature">
    <w:name w:val="Signature"/>
    <w:basedOn w:val="Normal"/>
    <w:rsid w:val="00667B9C"/>
    <w:pPr>
      <w:ind w:left="4320"/>
    </w:pPr>
  </w:style>
  <w:style w:type="paragraph" w:styleId="Subtitle">
    <w:name w:val="Subtitle"/>
    <w:basedOn w:val="Normal"/>
    <w:qFormat/>
    <w:rsid w:val="00667B9C"/>
    <w:pPr>
      <w:spacing w:after="60"/>
      <w:jc w:val="center"/>
      <w:outlineLvl w:val="1"/>
    </w:pPr>
    <w:rPr>
      <w:rFonts w:ascii="Arial" w:hAnsi="Arial" w:cs="Arial"/>
    </w:rPr>
  </w:style>
  <w:style w:type="paragraph" w:styleId="TableofAuthorities">
    <w:name w:val="table of authorities"/>
    <w:basedOn w:val="Normal"/>
    <w:next w:val="Normal"/>
    <w:semiHidden/>
    <w:rsid w:val="00667B9C"/>
    <w:pPr>
      <w:ind w:left="240" w:hanging="240"/>
    </w:pPr>
  </w:style>
  <w:style w:type="paragraph" w:styleId="TableofFigures">
    <w:name w:val="table of figures"/>
    <w:basedOn w:val="Normal"/>
    <w:next w:val="Normal"/>
    <w:semiHidden/>
    <w:rsid w:val="00667B9C"/>
  </w:style>
  <w:style w:type="paragraph" w:styleId="Title">
    <w:name w:val="Title"/>
    <w:basedOn w:val="Normal"/>
    <w:qFormat/>
    <w:rsid w:val="000A07FD"/>
    <w:pPr>
      <w:autoSpaceDE w:val="0"/>
      <w:autoSpaceDN w:val="0"/>
      <w:adjustRightInd w:val="0"/>
      <w:jc w:val="center"/>
    </w:pPr>
    <w:rPr>
      <w:rFonts w:ascii="Arial" w:hAnsi="Arial" w:cs="Arial"/>
      <w:b/>
      <w:bCs/>
      <w:sz w:val="28"/>
      <w:szCs w:val="28"/>
    </w:rPr>
  </w:style>
  <w:style w:type="paragraph" w:styleId="TOAHeading">
    <w:name w:val="toa heading"/>
    <w:basedOn w:val="Normal"/>
    <w:next w:val="Normal"/>
    <w:semiHidden/>
    <w:rsid w:val="00667B9C"/>
    <w:pPr>
      <w:spacing w:before="120"/>
    </w:pPr>
    <w:rPr>
      <w:rFonts w:ascii="Arial" w:hAnsi="Arial" w:cs="Arial"/>
      <w:b/>
      <w:bCs/>
    </w:rPr>
  </w:style>
  <w:style w:type="paragraph" w:styleId="TOC1">
    <w:name w:val="toc 1"/>
    <w:basedOn w:val="Normal"/>
    <w:next w:val="Normal"/>
    <w:autoRedefine/>
    <w:semiHidden/>
    <w:rsid w:val="00667B9C"/>
  </w:style>
  <w:style w:type="paragraph" w:styleId="TOC2">
    <w:name w:val="toc 2"/>
    <w:basedOn w:val="Normal"/>
    <w:next w:val="Normal"/>
    <w:autoRedefine/>
    <w:semiHidden/>
    <w:rsid w:val="00667B9C"/>
    <w:pPr>
      <w:ind w:left="240"/>
    </w:pPr>
  </w:style>
  <w:style w:type="paragraph" w:styleId="TOC3">
    <w:name w:val="toc 3"/>
    <w:basedOn w:val="Normal"/>
    <w:next w:val="Normal"/>
    <w:autoRedefine/>
    <w:semiHidden/>
    <w:rsid w:val="00667B9C"/>
    <w:pPr>
      <w:ind w:left="480"/>
    </w:pPr>
  </w:style>
  <w:style w:type="paragraph" w:styleId="TOC4">
    <w:name w:val="toc 4"/>
    <w:basedOn w:val="Normal"/>
    <w:next w:val="Normal"/>
    <w:autoRedefine/>
    <w:semiHidden/>
    <w:rsid w:val="00667B9C"/>
    <w:pPr>
      <w:ind w:left="720"/>
    </w:pPr>
  </w:style>
  <w:style w:type="paragraph" w:styleId="TOC5">
    <w:name w:val="toc 5"/>
    <w:basedOn w:val="Normal"/>
    <w:next w:val="Normal"/>
    <w:autoRedefine/>
    <w:semiHidden/>
    <w:rsid w:val="00667B9C"/>
    <w:pPr>
      <w:ind w:left="960"/>
    </w:pPr>
  </w:style>
  <w:style w:type="paragraph" w:styleId="TOC6">
    <w:name w:val="toc 6"/>
    <w:basedOn w:val="Normal"/>
    <w:next w:val="Normal"/>
    <w:autoRedefine/>
    <w:semiHidden/>
    <w:rsid w:val="00667B9C"/>
    <w:pPr>
      <w:ind w:left="1200"/>
    </w:pPr>
  </w:style>
  <w:style w:type="paragraph" w:styleId="TOC7">
    <w:name w:val="toc 7"/>
    <w:basedOn w:val="Normal"/>
    <w:next w:val="Normal"/>
    <w:autoRedefine/>
    <w:semiHidden/>
    <w:rsid w:val="00667B9C"/>
    <w:pPr>
      <w:ind w:left="1440"/>
    </w:pPr>
  </w:style>
  <w:style w:type="paragraph" w:styleId="TOC8">
    <w:name w:val="toc 8"/>
    <w:basedOn w:val="Normal"/>
    <w:next w:val="Normal"/>
    <w:autoRedefine/>
    <w:semiHidden/>
    <w:rsid w:val="00667B9C"/>
    <w:pPr>
      <w:ind w:left="1680"/>
    </w:pPr>
  </w:style>
  <w:style w:type="paragraph" w:styleId="TOC9">
    <w:name w:val="toc 9"/>
    <w:basedOn w:val="Normal"/>
    <w:next w:val="Normal"/>
    <w:autoRedefine/>
    <w:semiHidden/>
    <w:rsid w:val="00667B9C"/>
    <w:pPr>
      <w:ind w:left="1920"/>
    </w:pPr>
  </w:style>
  <w:style w:type="paragraph" w:customStyle="1" w:styleId="Style11ptCenteredLeft05Firstline05">
    <w:name w:val="Style 11 pt Centered Left:  0.5&quot; First line:  0.5&quot;"/>
    <w:basedOn w:val="Normal"/>
    <w:rsid w:val="00667B9C"/>
    <w:pPr>
      <w:ind w:left="720"/>
      <w:jc w:val="center"/>
    </w:pPr>
    <w:rPr>
      <w:sz w:val="22"/>
      <w:szCs w:val="20"/>
    </w:rPr>
  </w:style>
  <w:style w:type="paragraph" w:customStyle="1" w:styleId="Style1">
    <w:name w:val="Style1"/>
    <w:basedOn w:val="Normal"/>
    <w:rsid w:val="00030F8C"/>
    <w:pPr>
      <w:autoSpaceDE w:val="0"/>
      <w:autoSpaceDN w:val="0"/>
      <w:adjustRightInd w:val="0"/>
    </w:pPr>
    <w:rPr>
      <w:rFonts w:ascii="Arial" w:hAnsi="Arial" w:cs="Arial"/>
      <w:b/>
      <w:bCs/>
      <w:sz w:val="22"/>
      <w:szCs w:val="22"/>
    </w:rPr>
  </w:style>
  <w:style w:type="table" w:customStyle="1" w:styleId="TableStyle1">
    <w:name w:val="Table Style1"/>
    <w:basedOn w:val="TableGrid"/>
    <w:rsid w:val="00157DBF"/>
    <w:tblPr>
      <w:tblStyleRowBandSize w:val="3"/>
      <w:tblBorders>
        <w:top w:val="none" w:sz="0" w:space="0" w:color="auto"/>
        <w:left w:val="none" w:sz="0" w:space="0" w:color="auto"/>
        <w:bottom w:val="none" w:sz="0" w:space="0" w:color="auto"/>
        <w:right w:val="none" w:sz="0" w:space="0" w:color="auto"/>
        <w:insideH w:val="none" w:sz="0" w:space="0" w:color="auto"/>
        <w:insideV w:val="none" w:sz="0" w:space="0" w:color="auto"/>
      </w:tblBorders>
    </w:tblPr>
  </w:style>
  <w:style w:type="table" w:customStyle="1" w:styleId="TableStyle2">
    <w:name w:val="Table Style2"/>
    <w:basedOn w:val="TableNormal"/>
    <w:rsid w:val="00157DBF"/>
    <w:tblPr>
      <w:jc w:val="center"/>
    </w:tblPr>
    <w:trPr>
      <w:jc w:val="center"/>
    </w:trPr>
  </w:style>
  <w:style w:type="character" w:styleId="EndnoteReference">
    <w:name w:val="endnote reference"/>
    <w:semiHidden/>
    <w:rsid w:val="000A07FD"/>
    <w:rPr>
      <w:vertAlign w:val="superscript"/>
    </w:rPr>
  </w:style>
  <w:style w:type="paragraph" w:customStyle="1" w:styleId="Abstract">
    <w:name w:val="Abstract"/>
    <w:basedOn w:val="Normal"/>
    <w:rsid w:val="004B616D"/>
    <w:pPr>
      <w:ind w:left="720" w:right="720"/>
      <w:jc w:val="both"/>
    </w:pPr>
    <w:rPr>
      <w:sz w:val="22"/>
      <w:szCs w:val="22"/>
    </w:rPr>
  </w:style>
  <w:style w:type="paragraph" w:customStyle="1" w:styleId="Endnotes">
    <w:name w:val="Endnotes"/>
    <w:basedOn w:val="Normal"/>
    <w:rsid w:val="007A16A9"/>
    <w:pPr>
      <w:autoSpaceDE w:val="0"/>
      <w:autoSpaceDN w:val="0"/>
      <w:adjustRightInd w:val="0"/>
      <w:ind w:left="360" w:hanging="360"/>
      <w:jc w:val="both"/>
    </w:pPr>
    <w:rPr>
      <w:sz w:val="18"/>
      <w:szCs w:val="18"/>
    </w:rPr>
  </w:style>
  <w:style w:type="character" w:customStyle="1" w:styleId="Heading1Char">
    <w:name w:val="Heading 1 Char"/>
    <w:link w:val="Heading1"/>
    <w:rsid w:val="004B616D"/>
    <w:rPr>
      <w:rFonts w:ascii="Arial" w:hAnsi="Arial" w:cs="Arial"/>
      <w:b/>
      <w:bCs/>
      <w:sz w:val="24"/>
      <w:szCs w:val="24"/>
      <w:lang w:val="en-US" w:eastAsia="en-US" w:bidi="ar-SA"/>
    </w:rPr>
  </w:style>
  <w:style w:type="character" w:customStyle="1" w:styleId="Heading3Char">
    <w:name w:val="Heading 3 Char"/>
    <w:link w:val="Heading3"/>
    <w:rsid w:val="000E131B"/>
    <w:rPr>
      <w:rFonts w:ascii="Arial" w:hAnsi="Arial" w:cs="Arial"/>
      <w:szCs w:val="22"/>
      <w:u w:val="single"/>
    </w:rPr>
  </w:style>
  <w:style w:type="paragraph" w:customStyle="1" w:styleId="References">
    <w:name w:val="References"/>
    <w:basedOn w:val="Normal"/>
    <w:rsid w:val="007A16A9"/>
    <w:pPr>
      <w:autoSpaceDE w:val="0"/>
      <w:autoSpaceDN w:val="0"/>
      <w:adjustRightInd w:val="0"/>
      <w:ind w:left="720" w:hanging="720"/>
      <w:jc w:val="both"/>
    </w:pPr>
    <w:rPr>
      <w:szCs w:val="20"/>
    </w:rPr>
  </w:style>
  <w:style w:type="character" w:styleId="CommentReference">
    <w:name w:val="annotation reference"/>
    <w:uiPriority w:val="99"/>
    <w:semiHidden/>
    <w:unhideWhenUsed/>
    <w:rsid w:val="007D5B1D"/>
    <w:rPr>
      <w:sz w:val="16"/>
      <w:szCs w:val="16"/>
    </w:rPr>
  </w:style>
  <w:style w:type="paragraph" w:styleId="Revision">
    <w:name w:val="Revision"/>
    <w:hidden/>
    <w:unhideWhenUsed/>
    <w:rsid w:val="00657448"/>
    <w:rPr>
      <w:szCs w:val="24"/>
    </w:rPr>
  </w:style>
  <w:style w:type="character" w:customStyle="1" w:styleId="FooterChar">
    <w:name w:val="Footer Char"/>
    <w:basedOn w:val="DefaultParagraphFont"/>
    <w:link w:val="Footer"/>
    <w:uiPriority w:val="99"/>
    <w:rsid w:val="007E2383"/>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55654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C1FD4D9-61FD-450E-9355-9B52946F2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2795</Words>
  <Characters>15849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Title: Arial, 14 pt</vt:lpstr>
    </vt:vector>
  </TitlesOfParts>
  <Company>Indiana University</Company>
  <LinksUpToDate>false</LinksUpToDate>
  <CharactersWithSpaces>18607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Arial, 14 pt</dc:title>
  <dc:subject/>
  <dc:creator>ETS Administrator</dc:creator>
  <cp:keywords/>
  <cp:lastModifiedBy>Amber Simpson</cp:lastModifiedBy>
  <cp:revision>4</cp:revision>
  <cp:lastPrinted>2018-02-26T20:13:00Z</cp:lastPrinted>
  <dcterms:created xsi:type="dcterms:W3CDTF">2018-03-04T12:14:00Z</dcterms:created>
  <dcterms:modified xsi:type="dcterms:W3CDTF">2018-03-04T13:00:00Z</dcterms:modified>
</cp:coreProperties>
</file>