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7D7" w14:textId="1E65A585" w:rsidR="00300CF7" w:rsidRDefault="0057502B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4F19C23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24550" cy="1905000"/>
                <wp:effectExtent l="0" t="0" r="19050" b="1905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5A2F1203" w:rsidR="00CB7DE4" w:rsidRPr="00CB7DE4" w:rsidRDefault="00461DBC" w:rsidP="0057502B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1DBC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Peering a generation into the future: NSF's Young Scholars Program (YSP) and the nation’s STEM workforce</w:t>
                            </w:r>
                          </w:p>
                          <w:p w14:paraId="1955CC8A" w14:textId="44B33D1F" w:rsidR="0057502B" w:rsidRPr="00412559" w:rsidRDefault="00461DBC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Eric Hamilton, Pepperdine University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(eric.hamilton@pepperdine.edu)</w:t>
                            </w:r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br/>
                              <w:t>Seung Lee, Pepperdine University (seung.lee@pepperdine.edu)</w:t>
                            </w:r>
                          </w:p>
                          <w:p w14:paraId="5BBFB662" w14:textId="338C3C21" w:rsidR="004C460D" w:rsidRPr="000A07BA" w:rsidRDefault="00CB7DE4" w:rsidP="0057502B">
                            <w:pPr>
                              <w:tabs>
                                <w:tab w:val="right" w:pos="8820"/>
                              </w:tabs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9F4C1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2109443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</w:t>
                            </w:r>
                            <w:r w:rsidR="009B5CA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-</w:t>
                            </w:r>
                            <w:r w:rsidR="009B5CA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</w:t>
                            </w:r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3</w:t>
                            </w:r>
                          </w:p>
                          <w:p w14:paraId="64C4B334" w14:textId="25EB858C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EAGER</w:t>
                            </w:r>
                          </w:p>
                          <w:p w14:paraId="69114EF1" w14:textId="611236BC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461DBC"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The study seeks to assess</w:t>
                            </w:r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retrospectively</w:t>
                            </w:r>
                            <w:r w:rsidR="00461DBC"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the impact of the</w:t>
                            </w:r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1990s era</w:t>
                            </w:r>
                            <w:r w:rsidR="00461DBC"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Y</w:t>
                            </w:r>
                            <w:r w:rsidR="009B73A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oung Scholars Program (Y</w:t>
                            </w:r>
                            <w:r w:rsidR="00461DBC"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SP</w:t>
                            </w:r>
                            <w:r w:rsidR="009B73A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)</w:t>
                            </w:r>
                            <w:r w:rsidR="00461DBC" w:rsidRPr="00461DB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on STEM workforce development</w:t>
                            </w:r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and to develop insights for future NSF workforce programs. for </w:t>
                            </w:r>
                            <w:proofErr w:type="spellStart"/>
                            <w:r w:rsidR="0057502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fut</w:t>
                            </w:r>
                            <w:proofErr w:type="spellEnd"/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5.3pt;margin-top:18.9pt;width:466.5pt;height:1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2cgIAABQFAAAOAAAAZHJzL2Uyb0RvYy54bWysVF1v2yAUfZ+0/2Dx7ho7dpxEcarmw1Ol&#10;aZvW7gcQDIk1DB7QxFHV/94LTtxuq6Zp2osNXM6959wP5tddI4ID06ZWskDxFUYBk1RVtdwV6Nt9&#10;GU5QYCyRFRFKsgKdmEHXi/fv5sd2xhK1V6JiOgAn0syObYH21razKDJ0zxpirlTLJBi50g2xsNW7&#10;qNLkCN4bESUYj6Oj0lWrFWXGwOm6N6KF9885o/Yz54bZQBQIuFn/1f67dd9oMSeznSbtvqZnGuQf&#10;WDSklhB0cLUmlgQPuv7NVVNTrYzi9oqqJlKc15R5DaAmxr+ouduTlnktkBzTDmky/88t/XT4ooO6&#10;KhAUSpIGSnTPOrtUXZB7QbD5aKyTBqte0mNZJstsU6ZhCaswxcs0XG7SaVgmo8kmyctVMho/OXQ8&#10;nlHNiIXmuK0u6Y3Hf0f/XGiXmDTyCfY8H1fjPLtJskk4wqMsxOt8FS5TPA2T9TjJ16scj5bxkyts&#10;5Dlf/l5FdGzNzGt2HeKXdy0kwHagGPrXwdy5gUOnueO6cX8oVAB26KDT0DUuHxQOs2mSZhmYKNji&#10;Kc4w9n0F4S/wVhv7gakmcIsCaWhLn1xyAFY908sVoPtCwK/sSTDHQcivjEMKIGTi0X5I2Ero4ECg&#10;vavvnj6E9TcdhNdCDKD4LZCwF9D5roMxPzgDEL8FfIk23PYRlbQDsKml0n8G8/7+RXWv1cm23bY7&#10;F2OrqhPU6AhTWiDz44FohgJxK2EMpnGaurH2mzTLE9jo15btTxYrVqp/CIikewXvQF8HqW4erOK1&#10;r4WL3oc8s4LR8010fibcbL/e+1svj9niGQAA//8DAFBLAwQUAAYACAAAACEAt/F4SdoAAAAHAQAA&#10;DwAAAGRycy9kb3ducmV2LnhtbEyPwW7CMAyG75N4h8iTdhvpFmljpSliQ5MmxAXYgWNoTFuROFUT&#10;aPf2M6ft6O+3fn8uFqN34op9bANpeJpmIJCqYFuqNXzvPx9nIGIyZI0LhBp+MMKinNwVJrdhoC1e&#10;d6kWXEIxNxqalLpcylg16E2chg6Js1PovUk89rW0vRm43Dv5nGUv0puW+EJjOvxosDrvLl7DWuH5&#10;oOq4icPpXX3ZbLVx65XWD/fjcg4i4Zj+luGmz+pQstMxXMhG4TTwI0mDemV/Tt+UYnBkcCOyLOR/&#10;//IXAAD//wMAUEsBAi0AFAAGAAgAAAAhALaDOJL+AAAA4QEAABMAAAAAAAAAAAAAAAAAAAAAAFtD&#10;b250ZW50X1R5cGVzXS54bWxQSwECLQAUAAYACAAAACEAOP0h/9YAAACUAQAACwAAAAAAAAAAAAAA&#10;AAAvAQAAX3JlbHMvLnJlbHNQSwECLQAUAAYACAAAACEAiy2jtnICAAAUBQAADgAAAAAAAAAAAAAA&#10;AAAuAgAAZHJzL2Uyb0RvYy54bWxQSwECLQAUAAYACAAAACEAt/F4SdoAAAAHAQAADwAAAAAAAAAA&#10;AAAAAADMBAAAZHJzL2Rvd25yZXYueG1sUEsFBgAAAAAEAAQA8wAAANMFAAAAAA==&#10;" fillcolor="white [3201]" strokecolor="black [3200]" strokeweight="1pt">
                <v:textbox>
                  <w:txbxContent>
                    <w:p w14:paraId="1E12DEBF" w14:textId="5A2F1203" w:rsidR="00CB7DE4" w:rsidRPr="00CB7DE4" w:rsidRDefault="00461DBC" w:rsidP="0057502B">
                      <w:pPr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461DBC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Peering a generation into the future: NSF's Young Scholars Program (YSP) and the nation’s STEM workforce</w:t>
                      </w:r>
                    </w:p>
                    <w:p w14:paraId="1955CC8A" w14:textId="44B33D1F" w:rsidR="0057502B" w:rsidRPr="00412559" w:rsidRDefault="00461DBC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>Eric Hamilton, Pepperdine University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(eric.hamilton@pepperdine.edu)</w:t>
                      </w:r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br/>
                        <w:t>Seung Lee, Pepperdine University (seung.lee@pepperdine.edu)</w:t>
                      </w:r>
                    </w:p>
                    <w:p w14:paraId="5BBFB662" w14:textId="338C3C21" w:rsidR="004C460D" w:rsidRPr="000A07BA" w:rsidRDefault="00CB7DE4" w:rsidP="0057502B">
                      <w:pPr>
                        <w:tabs>
                          <w:tab w:val="right" w:pos="8820"/>
                        </w:tabs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9F4C1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9F4C11">
                        <w:rPr>
                          <w:rFonts w:ascii="Arial" w:hAnsi="Arial"/>
                          <w:color w:val="112E51"/>
                          <w:kern w:val="24"/>
                        </w:rPr>
                        <w:t>2109443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461DBC">
                        <w:rPr>
                          <w:rFonts w:ascii="Arial" w:hAnsi="Arial"/>
                          <w:color w:val="112E51"/>
                          <w:kern w:val="24"/>
                        </w:rPr>
                        <w:t>2021</w:t>
                      </w:r>
                      <w:r w:rsidR="009B5CA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461DBC">
                        <w:rPr>
                          <w:rFonts w:ascii="Arial" w:hAnsi="Arial"/>
                          <w:color w:val="112E51"/>
                          <w:kern w:val="24"/>
                        </w:rPr>
                        <w:t>-</w:t>
                      </w:r>
                      <w:r w:rsidR="009B5CA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461DBC">
                        <w:rPr>
                          <w:rFonts w:ascii="Arial" w:hAnsi="Arial"/>
                          <w:color w:val="112E51"/>
                          <w:kern w:val="24"/>
                        </w:rPr>
                        <w:t>202</w:t>
                      </w:r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t>3</w:t>
                      </w:r>
                    </w:p>
                    <w:p w14:paraId="64C4B334" w14:textId="25EB858C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461DBC">
                        <w:rPr>
                          <w:rFonts w:ascii="Arial" w:hAnsi="Arial"/>
                          <w:color w:val="112E51"/>
                          <w:kern w:val="24"/>
                        </w:rPr>
                        <w:t>EAGER</w:t>
                      </w:r>
                    </w:p>
                    <w:p w14:paraId="69114EF1" w14:textId="611236BC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461DBC"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>The study seeks to assess</w:t>
                      </w:r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retrospectively</w:t>
                      </w:r>
                      <w:r w:rsidR="00461DBC"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the impact of the</w:t>
                      </w:r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1990s era</w:t>
                      </w:r>
                      <w:r w:rsidR="00461DBC"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Y</w:t>
                      </w:r>
                      <w:r w:rsidR="009B73A2">
                        <w:rPr>
                          <w:rFonts w:ascii="Arial" w:hAnsi="Arial"/>
                          <w:color w:val="112E51"/>
                          <w:kern w:val="24"/>
                        </w:rPr>
                        <w:t>oung Scholars Program (Y</w:t>
                      </w:r>
                      <w:r w:rsidR="00461DBC"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>SP</w:t>
                      </w:r>
                      <w:r w:rsidR="009B73A2">
                        <w:rPr>
                          <w:rFonts w:ascii="Arial" w:hAnsi="Arial"/>
                          <w:color w:val="112E51"/>
                          <w:kern w:val="24"/>
                        </w:rPr>
                        <w:t>)</w:t>
                      </w:r>
                      <w:r w:rsidR="00461DBC" w:rsidRPr="00461DB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on STEM workforce development</w:t>
                      </w:r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and to develop insights for future NSF workforce programs. for </w:t>
                      </w:r>
                      <w:proofErr w:type="spellStart"/>
                      <w:r w:rsidR="0057502B">
                        <w:rPr>
                          <w:rFonts w:ascii="Arial" w:hAnsi="Arial"/>
                          <w:color w:val="112E51"/>
                          <w:kern w:val="24"/>
                        </w:rPr>
                        <w:t>fut</w:t>
                      </w:r>
                      <w:proofErr w:type="spellEnd"/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78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40A63BCD">
                <wp:simplePos x="0" y="0"/>
                <wp:positionH relativeFrom="margin">
                  <wp:posOffset>0</wp:posOffset>
                </wp:positionH>
                <wp:positionV relativeFrom="paragraph">
                  <wp:posOffset>6962115</wp:posOffset>
                </wp:positionV>
                <wp:extent cx="5924550" cy="1575303"/>
                <wp:effectExtent l="0" t="0" r="19050" b="1270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75303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E9FC16" w14:textId="04EDE3D4" w:rsidR="006041DE" w:rsidRPr="00BE11A5" w:rsidRDefault="006041DE" w:rsidP="00BE11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E47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have you needed to reconsider?</w:t>
                            </w:r>
                            <w:r w:rsidRPr="00FB776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Ways 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integrat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ing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survey and interview data 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 the analysis (ENA models)</w:t>
                            </w:r>
                          </w:p>
                          <w:p w14:paraId="66E0A167" w14:textId="52FCDE4E" w:rsidR="00BE11A5" w:rsidRPr="00FB7760" w:rsidRDefault="006041DE" w:rsidP="00BE11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E47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have you been able to creatively overcome and how?</w:t>
                            </w:r>
                            <w:r w:rsidRPr="00FB776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1A5" w:rsidRPr="00FB776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Use of social media 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r w:rsidR="00BE11A5" w:rsidRPr="00FB776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public information databases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gather participant 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1D79B9A1" w14:textId="0D0FB251" w:rsidR="00412559" w:rsidRPr="00FB7760" w:rsidRDefault="006041DE" w:rsidP="00FE4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E47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are you still grappling with?</w:t>
                            </w:r>
                            <w:r w:rsidR="00975C58" w:rsidRPr="00FB776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3A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Currently e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xploring a</w:t>
                            </w:r>
                            <w:r w:rsidR="00FE478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pproaches </w:t>
                            </w:r>
                            <w:r w:rsidR="00BE11A5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to effectively incorporate participant affect in the analysis of interview data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48.2pt;width:466.5pt;height:1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1tHwIAALYEAAAOAAAAZHJzL2Uyb0RvYy54bWysVNFu2yAUfZ+0f0C8L3bSOFmjONXaptOk&#10;aZva7gMIhhgNcxmQ2Pn7XXDitF21h2ovxHDPOdxzuTfLq67RZC+cV2BKOh7llAjDoVJmW9Kfj3cf&#10;PlLiAzMV02BESQ/C06vV+3fL1i7EBGrQlXAERYxftLakdQh2kWWe16JhfgRWGAxKcA0LuHXbrHKs&#10;RfVGZ5M8n2UtuMo64MJ7PL3tg3SV9KUUPHyX0otAdEkxt5BWl9ZNXLPVki22jtla8WMa7A1ZNEwZ&#10;vHSQumWBkZ1Tf0k1ijvwIMOIQ5OBlIqL5AHdjPMXbh5qZkXygsXxdiiT/3+y/Nv+hyOqwrebUWJY&#10;g2/0KLpwDR2Zx+q01i8Q9GARFjo8RuTp3ONhNN1J18RftEMwjnU+DLVFLcLxsLicTIsCQxxj42Je&#10;XOQXUSc7063z4bOAhsSPkjp8vFRTtv/qQw89QeJtHrSq7pTWaeO2mxvtyJ7hQ69n6+v1+qj+DKbN&#10;25iYZaRmsRq96/QVDlpEQW3uhcQqos9JSjn1rxgSqn6lmiUVREaKxMQH0vg1kg4n0hEbaSL19EDM&#10;XyOebxvQ6UYwYSA2yoD7N1n2+JPr3mu0HbpN17fMqRE2UB2wP1qco5L63zvmBCX6i8FGvRxPp3Hw&#10;0mZazCe4cU8jm2eRoG+gH1VmeA04qX0PGPi0CyBV6oOYRH/lMTkcjtRJx0GO0/d0n1Dnv5vVHwAA&#10;AP//AwBQSwMEFAAGAAgAAAAhAMCqJYveAAAACgEAAA8AAABkcnMvZG93bnJldi54bWxMj8FOwzAQ&#10;RO9I/IO1SNyoDTEVTeNUFQJxhBaas5tsk9B4HWKnDX/PcoLjvhnNzmSryXXihENoPRm4nSkQSKWv&#10;WqoNfLw/3zyACNFSZTtPaOAbA6zyy4vMppU/0wZP21gLDqGQWgNNjH0qZSgbdDbMfI/E2sEPzkY+&#10;h1pWgz1zuOvknVJz6WxL/KGxPT42WB63ozPwNBYbp9c77eq3L1X0xeHz+PJqzPXVtF6CiDjFPzP8&#10;1ufqkHOnvR+pCqIzwEMiU7WYaxCsL5KE0Z5RovU9yDyT/yfkPwAAAP//AwBQSwECLQAUAAYACAAA&#10;ACEAtoM4kv4AAADhAQAAEwAAAAAAAAAAAAAAAAAAAAAAW0NvbnRlbnRfVHlwZXNdLnhtbFBLAQIt&#10;ABQABgAIAAAAIQA4/SH/1gAAAJQBAAALAAAAAAAAAAAAAAAAAC8BAABfcmVscy8ucmVsc1BLAQIt&#10;ABQABgAIAAAAIQDe1o1tHwIAALYEAAAOAAAAAAAAAAAAAAAAAC4CAABkcnMvZTJvRG9jLnhtbFBL&#10;AQItABQABgAIAAAAIQDAqiWL3gAAAAoBAAAPAAAAAAAAAAAAAAAAAHkEAABkcnMvZG93bnJldi54&#10;bWxQSwUGAAAAAAQABADzAAAAhA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E9FC16" w14:textId="04EDE3D4" w:rsidR="006041DE" w:rsidRPr="00BE11A5" w:rsidRDefault="006041DE" w:rsidP="00BE11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FE4783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have you needed to reconsider?</w:t>
                      </w:r>
                      <w:r w:rsidRPr="00FB776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Ways 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for 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integrat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ing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survey and interview data 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in the analysis (ENA models)</w:t>
                      </w:r>
                    </w:p>
                    <w:p w14:paraId="66E0A167" w14:textId="52FCDE4E" w:rsidR="00BE11A5" w:rsidRPr="00FB7760" w:rsidRDefault="006041DE" w:rsidP="00BE11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FE4783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have you been able to creatively overcome and how?</w:t>
                      </w:r>
                      <w:r w:rsidRPr="00FB776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BE11A5" w:rsidRPr="00FB776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Use of social media 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and</w:t>
                      </w:r>
                      <w:r w:rsidR="00BE11A5" w:rsidRPr="00FB776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public information databases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gather participant 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contact information</w:t>
                      </w:r>
                    </w:p>
                    <w:p w14:paraId="1D79B9A1" w14:textId="0D0FB251" w:rsidR="00412559" w:rsidRPr="00FB7760" w:rsidRDefault="006041DE" w:rsidP="00FE4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FE4783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are you still grappling with?</w:t>
                      </w:r>
                      <w:r w:rsidR="00975C58" w:rsidRPr="00FB776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B73A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Currently e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xploring a</w:t>
                      </w:r>
                      <w:r w:rsidR="00FE478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pproaches </w:t>
                      </w:r>
                      <w:r w:rsidR="00BE11A5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to effectively incorporate participant affect in the analysis of interview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78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6B81C2F0">
                <wp:simplePos x="0" y="0"/>
                <wp:positionH relativeFrom="margin">
                  <wp:posOffset>0</wp:posOffset>
                </wp:positionH>
                <wp:positionV relativeFrom="paragraph">
                  <wp:posOffset>5269117</wp:posOffset>
                </wp:positionV>
                <wp:extent cx="5924550" cy="1602463"/>
                <wp:effectExtent l="0" t="0" r="19050" b="1079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02463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45E747F7" w14:textId="724EABA1" w:rsidR="00BE30E3" w:rsidRDefault="007C5A75" w:rsidP="00FE47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Findings show that having a</w:t>
                            </w:r>
                            <w:r w:rsid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diverse group of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participants</w:t>
                            </w:r>
                            <w:r w:rsid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0E3" w:rsidRP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contributed to enhancing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their</w:t>
                            </w:r>
                            <w:r w:rsidR="00BE30E3" w:rsidRP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sense of belonging</w:t>
                            </w:r>
                            <w:r w:rsidR="005B3B5E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and identity</w:t>
                            </w:r>
                            <w:r w:rsid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especially </w:t>
                            </w:r>
                            <w:r w:rsidR="00BE30E3" w:rsidRP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E30E3" w:rsidRPr="00975C5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from underrepresented groups and communities.</w:t>
                            </w:r>
                          </w:p>
                          <w:p w14:paraId="63EB7519" w14:textId="77777777" w:rsidR="00472B45" w:rsidRPr="00BE30E3" w:rsidRDefault="00472B45" w:rsidP="00472B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Analyses have examined</w:t>
                            </w:r>
                            <w:r w:rsidRPr="00FB7760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factors</w:t>
                            </w:r>
                            <w:r w:rsidRPr="00FB7760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affected the STEM workforce participation of underrepresented groups, including Black, Latinx, Native American and female individuals.</w:t>
                            </w:r>
                          </w:p>
                          <w:p w14:paraId="4F1B4323" w14:textId="77777777" w:rsidR="00472B45" w:rsidRPr="00975C58" w:rsidRDefault="00472B45" w:rsidP="00FE47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AC7DADB" w14:textId="77777777" w:rsidR="00BE30E3" w:rsidRDefault="00BE30E3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89F1B2F" w14:textId="77777777" w:rsidR="00BE30E3" w:rsidRPr="004C460D" w:rsidRDefault="00BE30E3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14.9pt;width:466.5pt;height:12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ykHwIAALYEAAAOAAAAZHJzL2Uyb0RvYy54bWysVNFu2yAUfZ+0f0C8L3a8JF2jONXaptOk&#10;qZvW7gMIhhgNcxmQ2Pn7XXDstFu1h2ovxHDPOdxzuTerq67R5CCcV2BKOp3klAjDoVJmV9Ifj3fv&#10;PlDiAzMV02BESY/C06v12zer1i5FATXoSjiCIsYvW1vSOgS7zDLPa9EwPwErDAYluIYF3LpdVjnW&#10;onqjsyLPF1kLrrIOuPAeT2/7IF0nfSkFD1+l9CIQXVLMLaTVpXUb12y9YsudY7ZW/JQGe0UWDVMG&#10;Lx2lbllgZO/UX1KN4g48yDDh0GQgpeIieUA30/wPNw81syJ5weJ4O5bJ/z9Zfn/45oiq8O3mlBjW&#10;4Bs9ii5cQ0cuYnVa65cIerAICx0eI3I493gYTXfSNfEX7RCMY52PY21Ri3A8nF8Ws/kcQxxj00Ve&#10;zBbvo052plvnwycBDYkfJXX4eKmm7PDFhx46QOJtHrSq7pTWaeN22xvtyIHhQ28Wm+vN5qT+DKbN&#10;65iYZaRmsRq96/QVjlpEQW2+C4lVRJ9FSjn1rxgTqn6mmiUVREaKxMRH0vQlkg4D6YSNNJF6eiTm&#10;LxHPt43odCOYMBIbZcD9myx7/OC69xpth27bpZYphkbYQnXE/mhxjkrqf+2ZE5TozwYb9XI6m8XB&#10;S5vZ/KLAjXsa2T6LBH0D/agyw2vASe17wMDHfQCpUh/EJPorT8nhcKROOg1ynL6n+4Q6/92sfwMA&#10;AP//AwBQSwMEFAAGAAgAAAAhAAJNWMbeAAAACQEAAA8AAABkcnMvZG93bnJldi54bWxMj8FOwzAQ&#10;RO9I/IO1SNyo3bRCaYhTVQjEEVogZzfeJmnjdYidNvw9ywmOOzOanZevJ9eJMw6h9aRhPlMgkCpv&#10;W6o1fLw/36UgQjRkTecJNXxjgHVxfZWbzPoLbfG8i7XgEgqZ0dDE2GdShqpBZ8LM90jsHfzgTORz&#10;qKUdzIXLXScTpe6lMy3xh8b0+NhgddqNTsPTWG7dcvO5dPXblyr78nA8vbxqfXszbR5ARJziXxh+&#10;5/N0KHjT3o9kg+g0MEjUkCYrBmB7tViwsuecSpMEZJHL/wTFDwAAAP//AwBQSwECLQAUAAYACAAA&#10;ACEAtoM4kv4AAADhAQAAEwAAAAAAAAAAAAAAAAAAAAAAW0NvbnRlbnRfVHlwZXNdLnhtbFBLAQIt&#10;ABQABgAIAAAAIQA4/SH/1gAAAJQBAAALAAAAAAAAAAAAAAAAAC8BAABfcmVscy8ucmVsc1BLAQIt&#10;ABQABgAIAAAAIQB0NTykHwIAALYEAAAOAAAAAAAAAAAAAAAAAC4CAABkcnMvZTJvRG9jLnhtbFBL&#10;AQItABQABgAIAAAAIQACTVjG3gAAAAkBAAAPAAAAAAAAAAAAAAAAAHkEAABkcnMvZG93bnJldi54&#10;bWxQSwUGAAAAAAQABADzAAAAhA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45E747F7" w14:textId="724EABA1" w:rsidR="00BE30E3" w:rsidRDefault="007C5A75" w:rsidP="00FE47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Findings show that having a</w:t>
                      </w:r>
                      <w:r w:rsid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diverse group of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participants</w:t>
                      </w:r>
                      <w:r w:rsid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BE30E3" w:rsidRP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contributed to enhancing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their</w:t>
                      </w:r>
                      <w:r w:rsidR="00BE30E3" w:rsidRP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sense of belonging</w:t>
                      </w:r>
                      <w:r w:rsidR="005B3B5E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and identity</w:t>
                      </w:r>
                      <w:r w:rsid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especially </w:t>
                      </w:r>
                      <w:r w:rsidR="00BE30E3" w:rsidRP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for </w:t>
                      </w:r>
                      <w:r w:rsid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students </w:t>
                      </w:r>
                      <w:r w:rsidR="00BE30E3" w:rsidRPr="00975C5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from underrepresented groups and communities.</w:t>
                      </w:r>
                    </w:p>
                    <w:p w14:paraId="63EB7519" w14:textId="77777777" w:rsidR="00472B45" w:rsidRPr="00BE30E3" w:rsidRDefault="00472B45" w:rsidP="00472B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Analyses have examined</w:t>
                      </w:r>
                      <w:r w:rsidRPr="00FB7760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factors</w:t>
                      </w:r>
                      <w:r w:rsidRPr="00FB7760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affected the STEM workforce participation of underrepresented groups, including Black, Latinx, Native American and female individuals.</w:t>
                      </w:r>
                    </w:p>
                    <w:p w14:paraId="4F1B4323" w14:textId="77777777" w:rsidR="00472B45" w:rsidRPr="00975C58" w:rsidRDefault="00472B45" w:rsidP="00FE47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  <w:p w14:paraId="5AC7DADB" w14:textId="77777777" w:rsidR="00BE30E3" w:rsidRDefault="00BE30E3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  <w:p w14:paraId="689F1B2F" w14:textId="77777777" w:rsidR="00BE30E3" w:rsidRPr="004C460D" w:rsidRDefault="00BE30E3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78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53182A33">
                <wp:simplePos x="0" y="0"/>
                <wp:positionH relativeFrom="margin">
                  <wp:posOffset>0</wp:posOffset>
                </wp:positionH>
                <wp:positionV relativeFrom="paragraph">
                  <wp:posOffset>3585172</wp:posOffset>
                </wp:positionV>
                <wp:extent cx="5924550" cy="1593410"/>
                <wp:effectExtent l="0" t="0" r="19050" b="6985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9341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893D511" w14:textId="2F4C4645" w:rsidR="00F308B7" w:rsidRDefault="00472B45" w:rsidP="00FE4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Insight: Acquiring STEM skills and career paths rarely if ever occurred outside of rich and holistic social contexts ~ the social context and the STEM activities proved synergistic.</w:t>
                            </w:r>
                          </w:p>
                          <w:p w14:paraId="7B2FC832" w14:textId="1CEA0E9E" w:rsidR="00461DBC" w:rsidRPr="00FE4783" w:rsidRDefault="00472B45" w:rsidP="00FE4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Lesson Learned (Methodological):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How to apply</w:t>
                            </w:r>
                            <w:r w:rsidR="00FB776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of epistemic network analysis (ENA) </w:t>
                            </w:r>
                            <w:r w:rsidR="009536D7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E478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model the</w:t>
                            </w:r>
                            <w:r w:rsidR="009536D7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connections between YSP experiences, social-cognitive</w:t>
                            </w:r>
                            <w:r w:rsidR="00FE478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factors</w:t>
                            </w:r>
                            <w:r w:rsidR="009536D7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FE478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subsequent </w:t>
                            </w:r>
                            <w:r w:rsidR="009536D7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academic and </w:t>
                            </w:r>
                            <w:r w:rsidR="00FE478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career pathways.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282.3pt;width:466.5pt;height:1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tbIQIAALUEAAAOAAAAZHJzL2Uyb0RvYy54bWysVNtuEzEQfUfiHyy/k82mSUuibCrapggJ&#10;AaLlAxyvnbWwPcZ2spu/Z+xNNi1UPFS8ODuXMzNnLlled0aTvfBBga1oORpTIiyHWtltRX883r97&#10;T0mIzNZMgxUVPYhAr1dv3yxbtxATaEDXwhMMYsOidRVtYnSLogi8EYaFEThh0SjBGxZR9Nui9qzF&#10;6EYXk/H4smjB184DFyGg9q430lWOL6Xg8auUQUSiK4q1xfz6/G7SW6yWbLH1zDWKH8tgr6jCMGUx&#10;6RDqjkVGdl79Fcoo7iGAjCMOpgApFReZA7Ipx3+weWiYE5kLNie4oU3h/4XlX/bfPFF1ReeUWGZw&#10;RI+iizfQkavUnNaFBfo8OPSKHapxyCd9QGXi3Elv0i+yIWjHNh+G1mIswlE5m0+msxmaONrK2fxi&#10;WubmF2e48yF+FGBI+qiox9nllrL95xCxFHQ9uaRsAbSq75XWWfDbza32ZM9wzuvL9c16napEyDM3&#10;bV+HxDgJWqRu9KzzVzxokQJq+11IbCLynOSS8/qKoaD6Z+5ZjoKeCSKx8AFUvgTS8QQ6+iaYyCs9&#10;AMcvAc/ZBu+cEWwcgEZZ8P8Gy97/xLrnmmjHbtPljbk4LcIG6gPuR4tnVNHwa8e8oER/srin83I6&#10;TXeXhensaoKCf2rZPLNEfQv9pTLLG8BD7XfAwoddBKnyHqQi+pTH4vA28qyPd5yO76mcvc7/Nqvf&#10;AAAA//8DAFBLAwQUAAYACAAAACEA1TP1md4AAAAIAQAADwAAAGRycy9kb3ducmV2LnhtbEyPwU7D&#10;MBBE70j8g7VI3KhTmkRtmk1VIRBHaIGc3dhNQuN1iJ02/D3LCY6zs5p5k28m24mzGXzrCGE+i0AY&#10;qpxuqUZ4f3u6W4LwQZFWnSOD8G08bIrrq1xl2l1oZ877UAsOIZ8phCaEPpPSV42xys9cb4i9oxus&#10;CiyHWupBXTjcdvI+ilJpVUvc0KjePDSmOu1Hi/A4ljsbbz9iW79+RWVfHj9Pzy+ItzfTdg0imCn8&#10;PcMvPqNDwUwHN5L2okPgIQEhSeMUBNurxYIvB4TlPElAFrn8P6D4AQAA//8DAFBLAQItABQABgAI&#10;AAAAIQC2gziS/gAAAOEBAAATAAAAAAAAAAAAAAAAAAAAAABbQ29udGVudF9UeXBlc10ueG1sUEsB&#10;Ai0AFAAGAAgAAAAhADj9If/WAAAAlAEAAAsAAAAAAAAAAAAAAAAALwEAAF9yZWxzLy5yZWxzUEsB&#10;Ai0AFAAGAAgAAAAhAC5F61shAgAAtQQAAA4AAAAAAAAAAAAAAAAALgIAAGRycy9lMm9Eb2MueG1s&#10;UEsBAi0AFAAGAAgAAAAhANUz9ZneAAAACAEAAA8AAAAAAAAAAAAAAAAAewQAAGRycy9kb3ducmV2&#10;LnhtbFBLBQYAAAAABAAEAPMAAACGBQAAAAA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893D511" w14:textId="2F4C4645" w:rsidR="00F308B7" w:rsidRDefault="00472B45" w:rsidP="00FE4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Insight: Acquiring STEM skills and career paths rarely if ever occurred outside of rich and holistic social contexts ~ the social context and the STEM activities proved synergistic.</w:t>
                      </w:r>
                    </w:p>
                    <w:p w14:paraId="7B2FC832" w14:textId="1CEA0E9E" w:rsidR="00461DBC" w:rsidRPr="00FE4783" w:rsidRDefault="00472B45" w:rsidP="00FE4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Lesson Learned (Methodological):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How to apply</w:t>
                      </w:r>
                      <w:r w:rsidR="00FB776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of epistemic network analysis (ENA) </w:t>
                      </w:r>
                      <w:r w:rsidR="009536D7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to </w:t>
                      </w:r>
                      <w:r w:rsidR="00FE478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model the</w:t>
                      </w:r>
                      <w:r w:rsidR="009536D7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connections between YSP experiences, social-cognitive</w:t>
                      </w:r>
                      <w:r w:rsidR="00FE478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factors</w:t>
                      </w:r>
                      <w:r w:rsidR="009536D7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, and </w:t>
                      </w:r>
                      <w:r w:rsidR="00FE478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subsequent </w:t>
                      </w:r>
                      <w:r w:rsidR="009536D7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academic and </w:t>
                      </w:r>
                      <w:r w:rsidR="00FE478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career pathways.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78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794A7BF4">
                <wp:simplePos x="0" y="0"/>
                <wp:positionH relativeFrom="margin">
                  <wp:posOffset>0</wp:posOffset>
                </wp:positionH>
                <wp:positionV relativeFrom="paragraph">
                  <wp:posOffset>2207895</wp:posOffset>
                </wp:positionV>
                <wp:extent cx="5924550" cy="1302589"/>
                <wp:effectExtent l="0" t="0" r="19050" b="1841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02589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36D1C6C5" w:rsidR="004C460D" w:rsidRPr="00FB7760" w:rsidRDefault="005B3B5E" w:rsidP="00FB7760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The c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ombination of STEM learning, exposure to 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new experiences</w:t>
                            </w:r>
                            <w:r w:rsidR="0057502B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engagement 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="00FB7760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like-minded 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peers</w:t>
                            </w:r>
                            <w:r w:rsidR="0057502B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, and a holistic </w:t>
                            </w:r>
                            <w:r w:rsidR="0057502B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sense of identity and belonging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was central to 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develop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ing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STEM </w:t>
                            </w:r>
                            <w:r w:rsidR="007C5A75"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interest</w:t>
                            </w:r>
                            <w:r w:rsidR="0057502B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and subsequent careers</w:t>
                            </w:r>
                            <w:r w:rsidRPr="00FB776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30" type="#_x0000_t202" style="position:absolute;margin-left:0;margin-top:173.85pt;width:466.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t2FAIAAHYEAAAOAAAAZHJzL2Uyb0RvYy54bWysVM2O0zAQviPxDpbvNGnasG3VdAW7WoSE&#10;WMQuD+A6dmPheIztNunbM3batMCKA+LieGa+b349Wd/2rSYH4bwCU9HpJKdEGA61MruKfnt+eLOg&#10;xAdmaqbBiIoehae3m9ev1p1diQIa0LVwBJ0Yv+psRZsQ7CrLPG9Ey/wErDBolOBaFlB0u6x2rEPv&#10;rc6KPH+bdeBq64AL71F7PxjpJvmXUvDwKKUXgeiKYm4hnS6d23hmmzVb7RyzjeKnNNg/ZNEyZTDo&#10;6OqeBUb2Tv3hqlXcgQcZJhzaDKRUXKQasJpp/ls1Tw2zItWCzfF2bJP/f27558MXR1SNs6PEsBZH&#10;9Cz68B56chOb01m/QsyTRVToUR2BJ71HZay5l66NX6yGoB3bfBxbi74IR2W5LOZliSaOtuksL8rF&#10;MvrJLnTrfPggoCXxUlGHs0stZYdPPgzQMyRG86BV/aC0ToLbbe+0IwcW5zybLcqz9ytYFosZkk63&#10;cNQikrX5KiT2ANMsUsT0+sTor/6eSsZUEzJSJMYdSdOXSDqcSSdspIn0Ikdi/hLxEm1Ep4hgwkhs&#10;lQH3d7Ic8Njhq1rjNfTbPg18fp7jFuojjrfDLaio/7FnTlCiPxp8ZsvpfB7XJgnz8qZAwV1btr9Y&#10;gr6DYdGY4Q3gnvEw5Gng3T6AVGmQMY0h6Ck9fNzpKZwWMW7PtZxQl9/F5icAAAD//wMAUEsDBBQA&#10;BgAIAAAAIQBoxe6/4AAAAAgBAAAPAAAAZHJzL2Rvd25yZXYueG1sTI9BS8NAEIXvgv9hGcGL2I2N&#10;tTFmU0RQEOnBthS8bbJjEtydXbLbNv57x5Me37zhve9Vq8lZccQxDp4U3MwyEEitNwN1Cnbb5+sC&#10;REyajLaeUME3RljV52eVLo0/0TseN6kTHEKx1Ar6lEIpZWx7dDrOfEBi79OPTieWYyfNqE8c7qyc&#10;Z9mddHogbuh1wKce26/NwSmg/foqe2k+1q/b4IbxrYky2EKpy4vp8QFEwin9PcMvPqNDzUyNP5CJ&#10;wirgIUlBfrtcgmD7Ps/50ihYLOYFyLqS/wfUPwAAAP//AwBQSwECLQAUAAYACAAAACEAtoM4kv4A&#10;AADhAQAAEwAAAAAAAAAAAAAAAAAAAAAAW0NvbnRlbnRfVHlwZXNdLnhtbFBLAQItABQABgAIAAAA&#10;IQA4/SH/1gAAAJQBAAALAAAAAAAAAAAAAAAAAC8BAABfcmVscy8ucmVsc1BLAQItABQABgAIAAAA&#10;IQDmtat2FAIAAHYEAAAOAAAAAAAAAAAAAAAAAC4CAABkcnMvZTJvRG9jLnhtbFBLAQItABQABgAI&#10;AAAAIQBoxe6/4AAAAAgBAAAPAAAAAAAAAAAAAAAAAG4EAABkcnMvZG93bnJldi54bWxQSwUGAAAA&#10;AAQABADzAAAAewUAAAAA&#10;" fillcolor="#033859" strokecolor="black [3200]" strokeweight="1pt">
                <v:textbox>
                  <w:txbxContent>
                    <w:p w14:paraId="00F0BA69" w14:textId="36D1C6C5" w:rsidR="004C460D" w:rsidRPr="00FB7760" w:rsidRDefault="005B3B5E" w:rsidP="00FB7760">
                      <w:pPr>
                        <w:spacing w:after="0"/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The c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ombination of STEM learning, exposure to 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new experiences</w:t>
                      </w:r>
                      <w:r w:rsidR="0057502B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engagement 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with </w:t>
                      </w:r>
                      <w:r w:rsidR="00FB7760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like-minded 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peers</w:t>
                      </w:r>
                      <w:r w:rsidR="0057502B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, and a holistic </w:t>
                      </w:r>
                      <w:r w:rsidR="0057502B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sense of identity and belonging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was central to 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develop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ing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STEM </w:t>
                      </w:r>
                      <w:r w:rsidR="007C5A75"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interest</w:t>
                      </w:r>
                      <w:r w:rsidR="0057502B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and subsequent careers</w:t>
                      </w:r>
                      <w:r w:rsidRPr="00FB776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DBC">
        <w:rPr>
          <w:noProof/>
        </w:rPr>
        <w:drawing>
          <wp:anchor distT="0" distB="0" distL="114300" distR="114300" simplePos="0" relativeHeight="251673600" behindDoc="0" locked="0" layoutInCell="1" allowOverlap="1" wp14:anchorId="7279E9B2" wp14:editId="6BBD4E32">
            <wp:simplePos x="0" y="0"/>
            <wp:positionH relativeFrom="margin">
              <wp:posOffset>5349240</wp:posOffset>
            </wp:positionH>
            <wp:positionV relativeFrom="margin">
              <wp:posOffset>-294688</wp:posOffset>
            </wp:positionV>
            <wp:extent cx="576580" cy="57658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0C821EF0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448"/>
    <w:multiLevelType w:val="hybridMultilevel"/>
    <w:tmpl w:val="655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265"/>
    <w:multiLevelType w:val="hybridMultilevel"/>
    <w:tmpl w:val="489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3E13"/>
    <w:multiLevelType w:val="hybridMultilevel"/>
    <w:tmpl w:val="1B5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0D5AD0"/>
    <w:rsid w:val="001110E0"/>
    <w:rsid w:val="00152CF1"/>
    <w:rsid w:val="00300CF7"/>
    <w:rsid w:val="003C31D0"/>
    <w:rsid w:val="00412559"/>
    <w:rsid w:val="00444B28"/>
    <w:rsid w:val="00461DBC"/>
    <w:rsid w:val="00472B45"/>
    <w:rsid w:val="004C460D"/>
    <w:rsid w:val="0057502B"/>
    <w:rsid w:val="005B3B5E"/>
    <w:rsid w:val="006041DE"/>
    <w:rsid w:val="006F6495"/>
    <w:rsid w:val="007C5A75"/>
    <w:rsid w:val="00900AC3"/>
    <w:rsid w:val="009536D7"/>
    <w:rsid w:val="00975C58"/>
    <w:rsid w:val="009B5CA5"/>
    <w:rsid w:val="009B73A2"/>
    <w:rsid w:val="009F4C11"/>
    <w:rsid w:val="00B478EE"/>
    <w:rsid w:val="00BE11A5"/>
    <w:rsid w:val="00BE30E3"/>
    <w:rsid w:val="00CB7DE4"/>
    <w:rsid w:val="00F308B7"/>
    <w:rsid w:val="00FB7760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Hamilton, Eric</cp:lastModifiedBy>
  <cp:revision>26</cp:revision>
  <dcterms:created xsi:type="dcterms:W3CDTF">2022-10-27T18:48:00Z</dcterms:created>
  <dcterms:modified xsi:type="dcterms:W3CDTF">2022-10-28T04:36:00Z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