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050" w:rsidRDefault="00303EEF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3157538</wp:posOffset>
            </wp:positionH>
            <wp:positionV relativeFrom="page">
              <wp:posOffset>914400</wp:posOffset>
            </wp:positionV>
            <wp:extent cx="1116376" cy="897705"/>
            <wp:effectExtent l="0" t="0" r="0" b="0"/>
            <wp:wrapNone/>
            <wp:docPr id="22" name="image3.png" descr="NSF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SF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376" cy="897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3050" w:rsidRDefault="006C3050"/>
    <w:p w:rsidR="006C3050" w:rsidRDefault="006C3050"/>
    <w:p w:rsidR="006C3050" w:rsidRDefault="00303EEF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page">
              <wp:posOffset>4467225</wp:posOffset>
            </wp:positionH>
            <wp:positionV relativeFrom="page">
              <wp:posOffset>2038350</wp:posOffset>
            </wp:positionV>
            <wp:extent cx="919163" cy="688915"/>
            <wp:effectExtent l="0" t="0" r="0" b="0"/>
            <wp:wrapNone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688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-442912</wp:posOffset>
                </wp:positionH>
                <wp:positionV relativeFrom="paragraph">
                  <wp:posOffset>57150</wp:posOffset>
                </wp:positionV>
                <wp:extent cx="6577013" cy="435292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45000" y="169700"/>
                          <a:ext cx="7375200" cy="544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C3050" w:rsidRDefault="00303EE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2E51"/>
                                <w:sz w:val="24"/>
                              </w:rPr>
                              <w:t xml:space="preserve">Title: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“Bridging Communities with Student STEM Stories: Culturally-Responsive Strategies for Motivating STEM Engagement in Diversifying Public Schools”</w:t>
                            </w:r>
                          </w:p>
                          <w:p w:rsidR="006C3050" w:rsidRDefault="00303EEF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12E51"/>
                                <w:sz w:val="24"/>
                              </w:rPr>
                              <w:t>Amy Stuart Wells and Erica Walker</w:t>
                            </w:r>
                          </w:p>
                          <w:p w:rsidR="006C3050" w:rsidRDefault="00303EEF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12E51"/>
                                <w:sz w:val="24"/>
                              </w:rPr>
                              <w:t>NSF Award Number​: 175937772</w:t>
                            </w:r>
                            <w:r>
                              <w:rPr>
                                <w:rFonts w:ascii="Arial" w:eastAsia="Arial" w:hAnsi="Arial" w:cs="Arial"/>
                                <w:color w:val="112E5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112E51"/>
                                <w:sz w:val="24"/>
                              </w:rPr>
                              <w:tab/>
                              <w:t>Dates: 2018/2023</w:t>
                            </w:r>
                          </w:p>
                          <w:p w:rsidR="006C3050" w:rsidRDefault="00303EEF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12E51"/>
                                <w:sz w:val="24"/>
                              </w:rPr>
                              <w:t>Project type:​ ITEST</w:t>
                            </w:r>
                          </w:p>
                          <w:p w:rsidR="006C3050" w:rsidRDefault="00303EEF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12E51"/>
                                <w:sz w:val="24"/>
                              </w:rPr>
                              <w:t>Project URL: 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>tinyurl.com/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4"/>
                              </w:rPr>
                              <w:t>STEMStoriesTC</w:t>
                            </w:r>
                            <w:proofErr w:type="spellEnd"/>
                          </w:p>
                          <w:p w:rsidR="006C3050" w:rsidRDefault="00303EEF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12E51"/>
                                <w:sz w:val="24"/>
                              </w:rPr>
                              <w:t xml:space="preserve">Project Overview: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The goal of this project is to strengthen school, family, neighborhood, and community ties through curricula that emphasizes STEM “in the world” and requires 4th and 5th grade st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udents to bring their STEM-related out-of-school experiences into their classrooms through stories of STEM concepts they see in their homes and communities, fostering a broader understanding of what STEM is and where it exists. Thus, we set out to expand 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ducators’, parents’ and students’ understandings of STEM knowledge by turning a deficit-framing of the students of color experiences and ways of knowing into an asset-based perspective that broadens understanding of what STEM is and where it exists.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-442912</wp:posOffset>
                </wp:positionH>
                <wp:positionV relativeFrom="paragraph">
                  <wp:posOffset>57150</wp:posOffset>
                </wp:positionV>
                <wp:extent cx="6577013" cy="4352925"/>
                <wp:effectExtent b="0" l="0" r="0" t="0"/>
                <wp:wrapNone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7013" cy="435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3050" w:rsidRDefault="00303EE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5568536</wp:posOffset>
                </wp:positionV>
                <wp:extent cx="6618274" cy="3183255"/>
                <wp:effectExtent l="0" t="0" r="11430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274" cy="3183255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 w="12700" cap="flat" cmpd="sng">
                          <a:solidFill>
                            <a:srgbClr val="E6EBE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C3050" w:rsidRPr="00326B9C" w:rsidRDefault="00303EEF">
                            <w:pPr>
                              <w:spacing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326B9C">
                              <w:rPr>
                                <w:rFonts w:ascii="Arial" w:eastAsia="Arial" w:hAnsi="Arial" w:cs="Arial"/>
                                <w:b/>
                                <w:color w:val="046B99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:rsidR="006C3050" w:rsidRPr="00BC49DB" w:rsidRDefault="00303EEF">
                            <w:pPr>
                              <w:spacing w:after="0" w:line="240" w:lineRule="auto"/>
                              <w:textDirection w:val="btLr"/>
                            </w:pPr>
                            <w:r w:rsidRPr="00BC49DB">
                              <w:rPr>
                                <w:rFonts w:ascii="Arial" w:eastAsia="Arial" w:hAnsi="Arial" w:cs="Arial"/>
                                <w:color w:val="033859"/>
                                <w:u w:val="single"/>
                              </w:rPr>
                              <w:t>Need to Reconsider</w:t>
                            </w:r>
                            <w:r w:rsidRPr="00BC49DB">
                              <w:rPr>
                                <w:rFonts w:ascii="Arial" w:eastAsia="Arial" w:hAnsi="Arial" w:cs="Arial"/>
                                <w:color w:val="033859"/>
                              </w:rPr>
                              <w:t xml:space="preserve">: Methods for engaging with teachers and data collection during a pandemic </w:t>
                            </w:r>
                          </w:p>
                          <w:p w:rsidR="006C3050" w:rsidRPr="00BC49DB" w:rsidRDefault="00303EEF">
                            <w:pPr>
                              <w:spacing w:after="0" w:line="240" w:lineRule="auto"/>
                              <w:textDirection w:val="btLr"/>
                            </w:pPr>
                            <w:r w:rsidRPr="00BC49DB">
                              <w:rPr>
                                <w:rFonts w:ascii="Arial" w:eastAsia="Arial" w:hAnsi="Arial" w:cs="Arial"/>
                                <w:color w:val="033859"/>
                                <w:u w:val="single"/>
                              </w:rPr>
                              <w:t>Creatively Overcame</w:t>
                            </w:r>
                            <w:r w:rsidRPr="00BC49DB">
                              <w:rPr>
                                <w:rFonts w:ascii="Arial" w:eastAsia="Arial" w:hAnsi="Arial" w:cs="Arial"/>
                                <w:color w:val="033859"/>
                              </w:rPr>
                              <w:t>: Digitalized all of our professional development resources.</w:t>
                            </w:r>
                            <w:r w:rsidRPr="00BC49DB">
                              <w:rPr>
                                <w:rFonts w:ascii="Arial" w:eastAsia="Arial" w:hAnsi="Arial" w:cs="Arial"/>
                                <w:color w:val="033859"/>
                              </w:rPr>
                              <w:t xml:space="preserve"> Online data collection allowed us to secure interviews from parents who had no time to come for in-person interview </w:t>
                            </w:r>
                          </w:p>
                          <w:p w:rsidR="006C3050" w:rsidRPr="00BC49DB" w:rsidRDefault="00303EEF">
                            <w:pPr>
                              <w:spacing w:line="258" w:lineRule="auto"/>
                              <w:textDirection w:val="btLr"/>
                            </w:pPr>
                            <w:r w:rsidRPr="00BC49DB">
                              <w:rPr>
                                <w:rFonts w:ascii="Arial" w:eastAsia="Arial" w:hAnsi="Arial" w:cs="Arial"/>
                                <w:color w:val="033859"/>
                                <w:u w:val="single"/>
                              </w:rPr>
                              <w:t>The Year Ahead</w:t>
                            </w:r>
                            <w:r w:rsidRPr="00BC49DB">
                              <w:rPr>
                                <w:rFonts w:ascii="Arial" w:eastAsia="Arial" w:hAnsi="Arial" w:cs="Arial"/>
                                <w:color w:val="033859"/>
                              </w:rPr>
                              <w:t xml:space="preserve">: Working to co-construct new lesson plans with teachers in partnering schools </w:t>
                            </w:r>
                          </w:p>
                          <w:p w:rsidR="006C3050" w:rsidRDefault="006C305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-36pt;margin-top:438.45pt;width:521.1pt;height:2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" fillcolor="#e6ebee" strokecolor="#e6ebee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6C3050" w:rsidRPr="00326B9C" w:rsidRDefault="00303EEF">
                      <w:pPr>
                        <w:spacing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326B9C">
                        <w:rPr>
                          <w:rFonts w:ascii="Arial" w:eastAsia="Arial" w:hAnsi="Arial" w:cs="Arial"/>
                          <w:b/>
                          <w:color w:val="046B99"/>
                          <w:sz w:val="24"/>
                          <w:szCs w:val="24"/>
                        </w:rPr>
                        <w:t>New Challenges &amp; Next Steps</w:t>
                      </w:r>
                    </w:p>
                    <w:p w:rsidR="006C3050" w:rsidRPr="00BC49DB" w:rsidRDefault="00303EEF">
                      <w:pPr>
                        <w:spacing w:after="0" w:line="240" w:lineRule="auto"/>
                        <w:textDirection w:val="btLr"/>
                      </w:pPr>
                      <w:r w:rsidRPr="00BC49DB">
                        <w:rPr>
                          <w:rFonts w:ascii="Arial" w:eastAsia="Arial" w:hAnsi="Arial" w:cs="Arial"/>
                          <w:color w:val="033859"/>
                          <w:u w:val="single"/>
                        </w:rPr>
                        <w:t>Need to Reconsider</w:t>
                      </w:r>
                      <w:r w:rsidRPr="00BC49DB">
                        <w:rPr>
                          <w:rFonts w:ascii="Arial" w:eastAsia="Arial" w:hAnsi="Arial" w:cs="Arial"/>
                          <w:color w:val="033859"/>
                        </w:rPr>
                        <w:t xml:space="preserve">: Methods for engaging with teachers and data collection during a pandemic </w:t>
                      </w:r>
                    </w:p>
                    <w:p w:rsidR="006C3050" w:rsidRPr="00BC49DB" w:rsidRDefault="00303EEF">
                      <w:pPr>
                        <w:spacing w:after="0" w:line="240" w:lineRule="auto"/>
                        <w:textDirection w:val="btLr"/>
                      </w:pPr>
                      <w:r w:rsidRPr="00BC49DB">
                        <w:rPr>
                          <w:rFonts w:ascii="Arial" w:eastAsia="Arial" w:hAnsi="Arial" w:cs="Arial"/>
                          <w:color w:val="033859"/>
                          <w:u w:val="single"/>
                        </w:rPr>
                        <w:t>Creatively Overcame</w:t>
                      </w:r>
                      <w:r w:rsidRPr="00BC49DB">
                        <w:rPr>
                          <w:rFonts w:ascii="Arial" w:eastAsia="Arial" w:hAnsi="Arial" w:cs="Arial"/>
                          <w:color w:val="033859"/>
                        </w:rPr>
                        <w:t>: Digitalized all of our professional development resources.</w:t>
                      </w:r>
                      <w:r w:rsidRPr="00BC49DB">
                        <w:rPr>
                          <w:rFonts w:ascii="Arial" w:eastAsia="Arial" w:hAnsi="Arial" w:cs="Arial"/>
                          <w:color w:val="033859"/>
                        </w:rPr>
                        <w:t xml:space="preserve"> Online data collection allowed us to secure interviews from parents who had no time to come for in-person interview </w:t>
                      </w:r>
                    </w:p>
                    <w:p w:rsidR="006C3050" w:rsidRPr="00BC49DB" w:rsidRDefault="00303EEF">
                      <w:pPr>
                        <w:spacing w:line="258" w:lineRule="auto"/>
                        <w:textDirection w:val="btLr"/>
                      </w:pPr>
                      <w:r w:rsidRPr="00BC49DB">
                        <w:rPr>
                          <w:rFonts w:ascii="Arial" w:eastAsia="Arial" w:hAnsi="Arial" w:cs="Arial"/>
                          <w:color w:val="033859"/>
                          <w:u w:val="single"/>
                        </w:rPr>
                        <w:t>The Year Ahead</w:t>
                      </w:r>
                      <w:r w:rsidRPr="00BC49DB">
                        <w:rPr>
                          <w:rFonts w:ascii="Arial" w:eastAsia="Arial" w:hAnsi="Arial" w:cs="Arial"/>
                          <w:color w:val="033859"/>
                        </w:rPr>
                        <w:t xml:space="preserve">: Working to co-construct new lesson plans with teachers in partnering schools </w:t>
                      </w:r>
                    </w:p>
                    <w:p w:rsidR="006C3050" w:rsidRDefault="006C305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-465151</wp:posOffset>
                </wp:positionH>
                <wp:positionV relativeFrom="paragraph">
                  <wp:posOffset>3906713</wp:posOffset>
                </wp:positionV>
                <wp:extent cx="6626528" cy="1905000"/>
                <wp:effectExtent l="0" t="0" r="2222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528" cy="19050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 w="12700" cap="flat" cmpd="sng">
                          <a:solidFill>
                            <a:srgbClr val="E6EBE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C3050" w:rsidRPr="00BC49DB" w:rsidRDefault="00303EEF">
                            <w:pPr>
                              <w:textDirection w:val="btLr"/>
                            </w:pPr>
                            <w:r w:rsidRPr="00BC49DB">
                              <w:rPr>
                                <w:rFonts w:ascii="Arial" w:eastAsia="Arial" w:hAnsi="Arial" w:cs="Arial"/>
                                <w:b/>
                                <w:color w:val="046B99"/>
                              </w:rPr>
                              <w:t>Equity</w:t>
                            </w:r>
                          </w:p>
                          <w:p w:rsidR="006C3050" w:rsidRPr="00BC49DB" w:rsidRDefault="00303EEF">
                            <w:pPr>
                              <w:spacing w:line="240" w:lineRule="auto"/>
                              <w:textDirection w:val="btLr"/>
                            </w:pPr>
                            <w:r w:rsidRPr="00BC49DB">
                              <w:rPr>
                                <w:rFonts w:ascii="Arial" w:eastAsia="Arial" w:hAnsi="Arial" w:cs="Arial"/>
                                <w:color w:val="033859"/>
                              </w:rPr>
                              <w:t xml:space="preserve">The professional development we provided to our partnering schools: </w:t>
                            </w:r>
                          </w:p>
                          <w:p w:rsidR="006C3050" w:rsidRPr="00BC49DB" w:rsidRDefault="00303EEF">
                            <w:pPr>
                              <w:spacing w:after="0" w:line="240" w:lineRule="auto"/>
                              <w:textDirection w:val="btLr"/>
                            </w:pPr>
                            <w:r w:rsidRPr="00BC49D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– Developed a STEM Stories lesson Plan website, which included resources on culturally responsive teaching, with Spanish translations of lesson plans and other material; </w:t>
                            </w:r>
                          </w:p>
                          <w:p w:rsidR="006C3050" w:rsidRPr="00BC49DB" w:rsidRDefault="00303EEF">
                            <w:pPr>
                              <w:spacing w:after="0"/>
                              <w:textDirection w:val="btLr"/>
                            </w:pPr>
                            <w:r w:rsidRPr="00BC49D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– .Offered weekl</w:t>
                            </w:r>
                            <w:r w:rsidRPr="00BC49D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y STEM Stories teacher support sessions with one of the partnering schools and monthly meetings with science teachers at the other school during 2021-22 school year.</w:t>
                            </w:r>
                          </w:p>
                          <w:p w:rsidR="006C3050" w:rsidRPr="00BC49DB" w:rsidRDefault="00303EEF">
                            <w:pPr>
                              <w:spacing w:after="0"/>
                              <w:textDirection w:val="btLr"/>
                            </w:pPr>
                            <w:r w:rsidRPr="00BC49D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– Offered virtual PD session to both schools in which the tie between the project and cult</w:t>
                            </w:r>
                            <w:r w:rsidRPr="00BC49D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urally relevant teaching approach was emphasized. </w:t>
                            </w:r>
                          </w:p>
                          <w:p w:rsidR="006C3050" w:rsidRDefault="006C305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36.65pt;margin-top:307.6pt;width:521.7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" fillcolor="#e6ebee" strokecolor="#e6ebee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6C3050" w:rsidRPr="00BC49DB" w:rsidRDefault="00303EEF">
                      <w:pPr>
                        <w:textDirection w:val="btLr"/>
                      </w:pPr>
                      <w:r w:rsidRPr="00BC49DB">
                        <w:rPr>
                          <w:rFonts w:ascii="Arial" w:eastAsia="Arial" w:hAnsi="Arial" w:cs="Arial"/>
                          <w:b/>
                          <w:color w:val="046B99"/>
                        </w:rPr>
                        <w:t>Equity</w:t>
                      </w:r>
                    </w:p>
                    <w:p w:rsidR="006C3050" w:rsidRPr="00BC49DB" w:rsidRDefault="00303EEF">
                      <w:pPr>
                        <w:spacing w:line="240" w:lineRule="auto"/>
                        <w:textDirection w:val="btLr"/>
                      </w:pPr>
                      <w:r w:rsidRPr="00BC49DB">
                        <w:rPr>
                          <w:rFonts w:ascii="Arial" w:eastAsia="Arial" w:hAnsi="Arial" w:cs="Arial"/>
                          <w:color w:val="033859"/>
                        </w:rPr>
                        <w:t xml:space="preserve">The professional development we provided to our partnering schools: </w:t>
                      </w:r>
                    </w:p>
                    <w:p w:rsidR="006C3050" w:rsidRPr="00BC49DB" w:rsidRDefault="00303EEF">
                      <w:pPr>
                        <w:spacing w:after="0" w:line="240" w:lineRule="auto"/>
                        <w:textDirection w:val="btLr"/>
                      </w:pPr>
                      <w:r w:rsidRPr="00BC49DB">
                        <w:rPr>
                          <w:rFonts w:ascii="Arial" w:eastAsia="Arial" w:hAnsi="Arial" w:cs="Arial"/>
                          <w:color w:val="000000"/>
                        </w:rPr>
                        <w:t xml:space="preserve">– Developed a STEM Stories lesson Plan website, which included resources on culturally responsive teaching, with Spanish translations of lesson plans and other material; </w:t>
                      </w:r>
                    </w:p>
                    <w:p w:rsidR="006C3050" w:rsidRPr="00BC49DB" w:rsidRDefault="00303EEF">
                      <w:pPr>
                        <w:spacing w:after="0"/>
                        <w:textDirection w:val="btLr"/>
                      </w:pPr>
                      <w:r w:rsidRPr="00BC49DB">
                        <w:rPr>
                          <w:rFonts w:ascii="Arial" w:eastAsia="Arial" w:hAnsi="Arial" w:cs="Arial"/>
                          <w:color w:val="000000"/>
                        </w:rPr>
                        <w:t>– .Offered weekl</w:t>
                      </w:r>
                      <w:r w:rsidRPr="00BC49DB">
                        <w:rPr>
                          <w:rFonts w:ascii="Arial" w:eastAsia="Arial" w:hAnsi="Arial" w:cs="Arial"/>
                          <w:color w:val="000000"/>
                        </w:rPr>
                        <w:t>y STEM Stories teacher support sessions with one of the partnering schools and monthly meetings with science teachers at the other school during 2021-22 school year.</w:t>
                      </w:r>
                    </w:p>
                    <w:p w:rsidR="006C3050" w:rsidRPr="00BC49DB" w:rsidRDefault="00303EEF">
                      <w:pPr>
                        <w:spacing w:after="0"/>
                        <w:textDirection w:val="btLr"/>
                      </w:pPr>
                      <w:r w:rsidRPr="00BC49DB">
                        <w:rPr>
                          <w:rFonts w:ascii="Arial" w:eastAsia="Arial" w:hAnsi="Arial" w:cs="Arial"/>
                          <w:color w:val="000000"/>
                        </w:rPr>
                        <w:t>– Offered virtual PD session to both schools in which the tie between the project and cult</w:t>
                      </w:r>
                      <w:r w:rsidRPr="00BC49DB">
                        <w:rPr>
                          <w:rFonts w:ascii="Arial" w:eastAsia="Arial" w:hAnsi="Arial" w:cs="Arial"/>
                          <w:color w:val="000000"/>
                        </w:rPr>
                        <w:t xml:space="preserve">urally relevant teaching approach was emphasized. </w:t>
                      </w:r>
                    </w:p>
                    <w:p w:rsidR="006C3050" w:rsidRDefault="006C305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158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2953385</wp:posOffset>
                </wp:positionV>
                <wp:extent cx="6610350" cy="1761490"/>
                <wp:effectExtent l="0" t="0" r="1905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76149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 w="12700" cap="flat" cmpd="sng">
                          <a:solidFill>
                            <a:srgbClr val="E6EBE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C3050" w:rsidRPr="00BC49DB" w:rsidRDefault="00303EEF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C49DB">
                              <w:rPr>
                                <w:rFonts w:ascii="Arial" w:eastAsia="Arial" w:hAnsi="Arial" w:cs="Arial"/>
                                <w:b/>
                                <w:color w:val="046B99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:rsidR="006C3050" w:rsidRPr="00BC49DB" w:rsidRDefault="00303EEF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C49DB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- Helped connect the STEM knowledge in students’ homes and comm</w:t>
                            </w:r>
                            <w:r w:rsidRPr="00BC49DB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unities to their school curriculum</w:t>
                            </w:r>
                          </w:p>
                          <w:p w:rsidR="006C3050" w:rsidRPr="00BC49DB" w:rsidRDefault="00303EEF">
                            <w:pPr>
                              <w:spacing w:after="0" w:line="240" w:lineRule="auto"/>
                              <w:textDirection w:val="btLr"/>
                            </w:pPr>
                            <w:r w:rsidRPr="00BC49DB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- Enabled the teachers and administrators in our partnering schools to become more culturally responsive and antiracist in their approach to teaching STEM</w:t>
                            </w:r>
                            <w:r w:rsidRPr="00BC49D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, and </w:t>
                            </w:r>
                          </w:p>
                          <w:p w:rsidR="006C3050" w:rsidRPr="00BC49DB" w:rsidRDefault="00303EEF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BC49D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- Brought to light the knowledge, voices and experiences of family members, thereby</w:t>
                            </w:r>
                            <w:r w:rsidRPr="00BC49DB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broadening students’ understanding of STEM and boosting the STEM efficacy of many students.</w:t>
                            </w:r>
                          </w:p>
                          <w:p w:rsidR="006C3050" w:rsidRDefault="00303EE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33859"/>
                                <w:sz w:val="24"/>
                              </w:rPr>
                              <w:t xml:space="preserve"> </w:t>
                            </w:r>
                          </w:p>
                          <w:p w:rsidR="006C3050" w:rsidRDefault="006C3050">
                            <w:pPr>
                              <w:textDirection w:val="btL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35pt;margin-top:232.55pt;width:520.5pt;height:138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" fillcolor="#e6ebee" strokecolor="#e6ebee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6C3050" w:rsidRPr="00BC49DB" w:rsidRDefault="00303EEF">
                      <w:p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C49DB">
                        <w:rPr>
                          <w:rFonts w:ascii="Arial" w:eastAsia="Arial" w:hAnsi="Arial" w:cs="Arial"/>
                          <w:b/>
                          <w:color w:val="046B99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:rsidR="006C3050" w:rsidRPr="00BC49DB" w:rsidRDefault="00303EEF">
                      <w:p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C49DB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- Helped connect the STEM knowledge in students’ homes and comm</w:t>
                      </w:r>
                      <w:r w:rsidRPr="00BC49DB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unities to their school curriculum</w:t>
                      </w:r>
                    </w:p>
                    <w:p w:rsidR="006C3050" w:rsidRPr="00BC49DB" w:rsidRDefault="00303EEF">
                      <w:pPr>
                        <w:spacing w:after="0" w:line="240" w:lineRule="auto"/>
                        <w:textDirection w:val="btLr"/>
                      </w:pPr>
                      <w:r w:rsidRPr="00BC49DB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- Enabled the teachers and administrators in our partnering schools to become more culturally responsive and antiracist in their approach to teaching STEM</w:t>
                      </w:r>
                      <w:r w:rsidRPr="00BC49DB">
                        <w:rPr>
                          <w:rFonts w:ascii="Arial" w:eastAsia="Arial" w:hAnsi="Arial" w:cs="Arial"/>
                          <w:color w:val="000000"/>
                        </w:rPr>
                        <w:t xml:space="preserve">, and </w:t>
                      </w:r>
                    </w:p>
                    <w:p w:rsidR="006C3050" w:rsidRPr="00BC49DB" w:rsidRDefault="00303EEF">
                      <w:pPr>
                        <w:spacing w:after="0" w:line="24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BC49DB">
                        <w:rPr>
                          <w:rFonts w:ascii="Arial" w:eastAsia="Arial" w:hAnsi="Arial" w:cs="Arial"/>
                          <w:color w:val="000000"/>
                        </w:rPr>
                        <w:t>- Brought to light the knowledge, voices and experiences of family members, thereby</w:t>
                      </w:r>
                      <w:r w:rsidRPr="00BC49DB"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  <w:t xml:space="preserve"> broadening students’ understanding of STEM and boosting the STEM efficacy of many students.</w:t>
                      </w:r>
                    </w:p>
                    <w:p w:rsidR="006C3050" w:rsidRDefault="00303EE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33859"/>
                          <w:sz w:val="24"/>
                        </w:rPr>
                        <w:t xml:space="preserve"> </w:t>
                      </w:r>
                    </w:p>
                    <w:p w:rsidR="006C3050" w:rsidRDefault="006C3050">
                      <w:pPr>
                        <w:textDirection w:val="btL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>
        <w:t xml:space="preserve"> </w:t>
      </w:r>
      <w:r>
        <w:t xml:space="preserve">                                                                                                                                                           </w:t>
      </w:r>
    </w:p>
    <w:sectPr w:rsidR="006C30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50"/>
    <w:rsid w:val="00303EEF"/>
    <w:rsid w:val="00326B9C"/>
    <w:rsid w:val="006C3050"/>
    <w:rsid w:val="00715833"/>
    <w:rsid w:val="00B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67DB"/>
  <w15:docId w15:val="{4E442A5D-0B68-49E3-9D4E-86B803A6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55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4x4cmMmYRPBQkkPgOaWikHtfEQ==">AMUW2mX59W4IckGU98SArOmQrg1GRP3Hg7hKDyr20SqgK9YJ2a5MCUkKxkhplz6rmOzndxyiB/y2nSM5nHV+kJGVI7tdkOf4tMKz7X6mlk75jF91ohndAOA=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Roche, Brianna</dc:creator>
  <cp:lastModifiedBy>Amy Stuart Wells</cp:lastModifiedBy>
  <cp:revision>3</cp:revision>
  <dcterms:created xsi:type="dcterms:W3CDTF">2022-10-28T05:33:00Z</dcterms:created>
  <dcterms:modified xsi:type="dcterms:W3CDTF">2022-10-28T12:56:00Z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